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20F296C">
      <w:pPr>
        <w:pStyle w:val="17"/>
        <w:rPr>
          <w:rFonts w:ascii="宋体" w:hAnsi="宋体" w:eastAsia="宋体"/>
          <w:color w:val="FF0000"/>
          <w:sz w:val="21"/>
          <w:szCs w:val="21"/>
        </w:rPr>
      </w:pPr>
      <w:r>
        <w:rPr>
          <w:color w:val="FF0000"/>
          <w:sz w:val="18"/>
        </w:rPr>
        <mc:AlternateContent>
          <mc:Choice Requires="wps">
            <w:drawing>
              <wp:anchor distT="0" distB="0" distL="114300" distR="114300" simplePos="0" relativeHeight="251660288" behindDoc="0" locked="0" layoutInCell="1" allowOverlap="1">
                <wp:simplePos x="0" y="0"/>
                <wp:positionH relativeFrom="column">
                  <wp:posOffset>-436245</wp:posOffset>
                </wp:positionH>
                <wp:positionV relativeFrom="paragraph">
                  <wp:posOffset>1012190</wp:posOffset>
                </wp:positionV>
                <wp:extent cx="6480175" cy="1800225"/>
                <wp:effectExtent l="0" t="0" r="0" b="0"/>
                <wp:wrapNone/>
                <wp:docPr id="6" name="文本框 6"/>
                <wp:cNvGraphicFramePr/>
                <a:graphic xmlns:a="http://schemas.openxmlformats.org/drawingml/2006/main">
                  <a:graphicData uri="http://schemas.microsoft.com/office/word/2010/wordprocessingShape">
                    <wps:wsp>
                      <wps:cNvSpPr txBox="1"/>
                      <wps:spPr>
                        <a:xfrm>
                          <a:off x="0" y="0"/>
                          <a:ext cx="6480175" cy="1800225"/>
                        </a:xfrm>
                        <a:prstGeom prst="rect">
                          <a:avLst/>
                        </a:prstGeom>
                        <a:noFill/>
                        <a:ln w="6350">
                          <a:noFill/>
                        </a:ln>
                        <a:effectLst/>
                      </wps:spPr>
                      <wps:txbx>
                        <w:txbxContent>
                          <w:p w14:paraId="0E04C6BD">
                            <w:pPr>
                              <w:jc w:val="center"/>
                              <w:rPr>
                                <w:rFonts w:ascii="微软雅黑" w:hAnsi="微软雅黑" w:eastAsia="微软雅黑" w:cs="微软雅黑"/>
                                <w:color w:val="404040" w:themeColor="text1" w:themeTint="BF"/>
                                <w:sz w:val="80"/>
                                <w:szCs w:val="80"/>
                                <w14:textFill>
                                  <w14:solidFill>
                                    <w14:schemeClr w14:val="tx1">
                                      <w14:lumMod w14:val="75000"/>
                                      <w14:lumOff w14:val="25000"/>
                                    </w14:schemeClr>
                                  </w14:solidFill>
                                </w14:textFill>
                              </w:rPr>
                            </w:pPr>
                            <w:r>
                              <w:rPr>
                                <w:rFonts w:hint="default" w:ascii="微软雅黑" w:hAnsi="微软雅黑" w:eastAsia="微软雅黑" w:cs="微软雅黑"/>
                                <w:b/>
                                <w:bCs/>
                                <w:color w:val="404040" w:themeColor="text1" w:themeTint="BF"/>
                                <w:sz w:val="64"/>
                                <w:szCs w:val="64"/>
                                <w:lang w:val="en-US" w:eastAsia="zh-CN"/>
                                <w14:textFill>
                                  <w14:solidFill>
                                    <w14:schemeClr w14:val="tx1">
                                      <w14:lumMod w14:val="75000"/>
                                      <w14:lumOff w14:val="25000"/>
                                    </w14:schemeClr>
                                  </w14:solidFill>
                                </w14:textFill>
                              </w:rPr>
                              <w:t>苏州率果建筑艺术设计有限公司</w:t>
                            </w:r>
                            <w:r>
                              <w:rPr>
                                <w:rFonts w:hint="eastAsia" w:ascii="微软雅黑" w:hAnsi="微软雅黑" w:eastAsia="微软雅黑" w:cs="微软雅黑"/>
                                <w:b/>
                                <w:bCs/>
                                <w:color w:val="404040" w:themeColor="text1" w:themeTint="BF"/>
                                <w:spacing w:val="113"/>
                                <w:sz w:val="80"/>
                                <w:szCs w:val="80"/>
                                <w14:textFill>
                                  <w14:solidFill>
                                    <w14:schemeClr w14:val="tx1">
                                      <w14:lumMod w14:val="75000"/>
                                      <w14:lumOff w14:val="25000"/>
                                    </w14:schemeClr>
                                  </w14:solidFill>
                                </w14:textFill>
                              </w:rPr>
                              <w:t>企业年报</w:t>
                            </w:r>
                          </w:p>
                          <w:p w14:paraId="145C5C38">
                            <w:pPr>
                              <w:jc w:val="center"/>
                              <w:rPr>
                                <w:rFonts w:ascii="微软雅黑" w:hAnsi="微软雅黑" w:eastAsia="微软雅黑" w:cs="微软雅黑"/>
                                <w:b/>
                                <w:bCs/>
                                <w:color w:val="404040" w:themeColor="text1" w:themeTint="BF"/>
                                <w:sz w:val="72"/>
                                <w:szCs w:val="72"/>
                                <w14:textFill>
                                  <w14:solidFill>
                                    <w14:schemeClr w14:val="tx1">
                                      <w14:lumMod w14:val="75000"/>
                                      <w14:lumOff w14:val="25000"/>
                                    </w14:schemeClr>
                                  </w14:solidFill>
                                </w14:textFill>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4.35pt;margin-top:79.7pt;height:141.75pt;width:510.25pt;z-index:251660288;mso-width-relative:page;mso-height-relative:page;" filled="f" stroked="f" coordsize="21600,21600" o:gfxdata="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JslST9wAAAALAQAADwAAAAAAAAABACAA&#10;AAAiAAAAZHJzL2Rvd25yZXYueG1sUEsBAhQAFAAAAAgAh07iQOjq0LhCAgAAdQQAAA4AAAAAAAAA&#10;AQAgAAAAKwEAAGRycy9lMm9Eb2MueG1sUEsFBgAAAAAGAAYAWQEAAN8FAAAAAA==&#10;">
                <v:fill on="f" focussize="0,0"/>
                <v:stroke on="f" weight="0.5pt"/>
                <v:imagedata o:title=""/>
                <o:lock v:ext="edit" aspectratio="f"/>
                <v:textbox>
                  <w:txbxContent>
                    <w:p w14:paraId="0E04C6BD">
                      <w:pPr>
                        <w:jc w:val="center"/>
                        <w:rPr>
                          <w:rFonts w:ascii="微软雅黑" w:hAnsi="微软雅黑" w:eastAsia="微软雅黑" w:cs="微软雅黑"/>
                          <w:color w:val="404040" w:themeColor="text1" w:themeTint="BF"/>
                          <w:sz w:val="80"/>
                          <w:szCs w:val="80"/>
                          <w14:textFill>
                            <w14:solidFill>
                              <w14:schemeClr w14:val="tx1">
                                <w14:lumMod w14:val="75000"/>
                                <w14:lumOff w14:val="25000"/>
                              </w14:schemeClr>
                            </w14:solidFill>
                          </w14:textFill>
                        </w:rPr>
                      </w:pPr>
                      <w:r>
                        <w:rPr>
                          <w:rFonts w:hint="default" w:ascii="微软雅黑" w:hAnsi="微软雅黑" w:eastAsia="微软雅黑" w:cs="微软雅黑"/>
                          <w:b/>
                          <w:bCs/>
                          <w:color w:val="404040" w:themeColor="text1" w:themeTint="BF"/>
                          <w:sz w:val="64"/>
                          <w:szCs w:val="64"/>
                          <w:lang w:val="en-US" w:eastAsia="zh-CN"/>
                          <w14:textFill>
                            <w14:solidFill>
                              <w14:schemeClr w14:val="tx1">
                                <w14:lumMod w14:val="75000"/>
                                <w14:lumOff w14:val="25000"/>
                              </w14:schemeClr>
                            </w14:solidFill>
                          </w14:textFill>
                        </w:rPr>
                        <w:t>苏州率果建筑艺术设计有限公司</w:t>
                      </w:r>
                      <w:r>
                        <w:rPr>
                          <w:rFonts w:hint="eastAsia" w:ascii="微软雅黑" w:hAnsi="微软雅黑" w:eastAsia="微软雅黑" w:cs="微软雅黑"/>
                          <w:b/>
                          <w:bCs/>
                          <w:color w:val="404040" w:themeColor="text1" w:themeTint="BF"/>
                          <w:spacing w:val="113"/>
                          <w:sz w:val="80"/>
                          <w:szCs w:val="80"/>
                          <w14:textFill>
                            <w14:solidFill>
                              <w14:schemeClr w14:val="tx1">
                                <w14:lumMod w14:val="75000"/>
                                <w14:lumOff w14:val="25000"/>
                              </w14:schemeClr>
                            </w14:solidFill>
                          </w14:textFill>
                        </w:rPr>
                        <w:t>企业年报</w:t>
                      </w:r>
                    </w:p>
                    <w:p w14:paraId="145C5C38">
                      <w:pPr>
                        <w:jc w:val="center"/>
                        <w:rPr>
                          <w:rFonts w:ascii="微软雅黑" w:hAnsi="微软雅黑" w:eastAsia="微软雅黑" w:cs="微软雅黑"/>
                          <w:b/>
                          <w:bCs/>
                          <w:color w:val="404040" w:themeColor="text1" w:themeTint="BF"/>
                          <w:sz w:val="72"/>
                          <w:szCs w:val="72"/>
                          <w14:textFill>
                            <w14:solidFill>
                              <w14:schemeClr w14:val="tx1">
                                <w14:lumMod w14:val="75000"/>
                                <w14:lumOff w14:val="25000"/>
                              </w14:schemeClr>
                            </w14:solidFill>
                          </w14:textFill>
                        </w:rPr>
                      </w:pPr>
                    </w:p>
                  </w:txbxContent>
                </v:textbox>
              </v:shape>
            </w:pict>
          </mc:Fallback>
        </mc:AlternateContent>
      </w:r>
      <w:r>
        <w:rPr>
          <w:rFonts w:hint="eastAsia"/>
          <w:color w:val="FF0000"/>
        </w:rPr>
        <w:drawing>
          <wp:anchor distT="0" distB="0" distL="114300" distR="114300" simplePos="0" relativeHeight="251662336" behindDoc="0" locked="0" layoutInCell="1" allowOverlap="1">
            <wp:simplePos x="0" y="0"/>
            <wp:positionH relativeFrom="column">
              <wp:posOffset>-753110</wp:posOffset>
            </wp:positionH>
            <wp:positionV relativeFrom="paragraph">
              <wp:posOffset>-760730</wp:posOffset>
            </wp:positionV>
            <wp:extent cx="2473325" cy="614045"/>
            <wp:effectExtent l="0" t="0" r="3175" b="14605"/>
            <wp:wrapNone/>
            <wp:docPr id="11" name="图片 11" descr="（新）学校主标识（305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新）学校主标识（305高）"/>
                    <pic:cNvPicPr>
                      <a:picLocks noChangeAspect="1"/>
                    </pic:cNvPicPr>
                  </pic:nvPicPr>
                  <pic:blipFill>
                    <a:blip r:embed="rId4"/>
                    <a:stretch>
                      <a:fillRect/>
                    </a:stretch>
                  </pic:blipFill>
                  <pic:spPr>
                    <a:xfrm>
                      <a:off x="0" y="0"/>
                      <a:ext cx="2473325" cy="614045"/>
                    </a:xfrm>
                    <a:prstGeom prst="rect">
                      <a:avLst/>
                    </a:prstGeom>
                  </pic:spPr>
                </pic:pic>
              </a:graphicData>
            </a:graphic>
          </wp:anchor>
        </w:drawing>
      </w:r>
      <w:r>
        <w:rPr>
          <w:color w:val="FF0000"/>
          <w:sz w:val="18"/>
        </w:rPr>
        <mc:AlternateContent>
          <mc:Choice Requires="wps">
            <w:drawing>
              <wp:anchor distT="0" distB="0" distL="114300" distR="114300" simplePos="0" relativeHeight="251661312" behindDoc="0" locked="0" layoutInCell="1" allowOverlap="1">
                <wp:simplePos x="0" y="0"/>
                <wp:positionH relativeFrom="column">
                  <wp:posOffset>-448945</wp:posOffset>
                </wp:positionH>
                <wp:positionV relativeFrom="paragraph">
                  <wp:posOffset>6170295</wp:posOffset>
                </wp:positionV>
                <wp:extent cx="6480175" cy="3133090"/>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6480175" cy="3133090"/>
                        </a:xfrm>
                        <a:prstGeom prst="rect">
                          <a:avLst/>
                        </a:prstGeom>
                        <a:noFill/>
                        <a:ln w="6350">
                          <a:noFill/>
                        </a:ln>
                        <a:effectLst/>
                      </wps:spPr>
                      <wps:txbx>
                        <w:txbxContent>
                          <w:p w14:paraId="1E16662D">
                            <w:pPr>
                              <w:jc w:val="right"/>
                              <w:rPr>
                                <w:rFonts w:ascii="微软雅黑" w:hAnsi="微软雅黑" w:eastAsia="微软雅黑" w:cs="微软雅黑"/>
                                <w:b/>
                                <w:bCs/>
                                <w:color w:val="FFFFFF" w:themeColor="background1"/>
                                <w:sz w:val="160"/>
                                <w:szCs w:val="160"/>
                                <w14:textFill>
                                  <w14:solidFill>
                                    <w14:schemeClr w14:val="bg1"/>
                                  </w14:solidFill>
                                </w14:textFill>
                              </w:rPr>
                            </w:pPr>
                            <w:r>
                              <w:rPr>
                                <w:rFonts w:hint="eastAsia" w:ascii="微软雅黑" w:hAnsi="微软雅黑" w:eastAsia="微软雅黑" w:cs="微软雅黑"/>
                                <w:b/>
                                <w:bCs/>
                                <w:color w:val="FFFFFF" w:themeColor="background1"/>
                                <w:sz w:val="160"/>
                                <w:szCs w:val="160"/>
                                <w14:textFill>
                                  <w14:solidFill>
                                    <w14:schemeClr w14:val="bg1"/>
                                  </w14:solidFill>
                                </w14:textFill>
                              </w:rPr>
                              <w:t>2024</w:t>
                            </w:r>
                          </w:p>
                          <w:p w14:paraId="2C18B59E">
                            <w:pPr>
                              <w:jc w:val="center"/>
                              <w:rPr>
                                <w:rFonts w:ascii="微软雅黑" w:hAnsi="微软雅黑" w:eastAsia="微软雅黑" w:cs="微软雅黑"/>
                                <w:b/>
                                <w:bCs/>
                                <w:color w:val="FFFFFF" w:themeColor="background1"/>
                                <w:sz w:val="28"/>
                                <w:szCs w:val="28"/>
                                <w14:textFill>
                                  <w14:solidFill>
                                    <w14:schemeClr w14:val="bg1"/>
                                  </w14:solidFill>
                                </w14:textFill>
                              </w:rPr>
                            </w:pPr>
                          </w:p>
                          <w:p w14:paraId="69756669">
                            <w:pPr>
                              <w:jc w:val="center"/>
                              <w:rPr>
                                <w:rFonts w:ascii="微软雅黑" w:hAnsi="微软雅黑" w:eastAsia="微软雅黑" w:cs="微软雅黑"/>
                                <w:b/>
                                <w:bCs/>
                                <w:color w:val="F2F2F2" w:themeColor="background1" w:themeShade="F2"/>
                                <w:sz w:val="28"/>
                                <w:szCs w:val="28"/>
                              </w:rPr>
                            </w:pPr>
                            <w:r>
                              <w:rPr>
                                <w:rFonts w:hint="eastAsia" w:ascii="微软雅黑" w:hAnsi="微软雅黑" w:eastAsia="微软雅黑" w:cs="微软雅黑"/>
                                <w:b/>
                                <w:bCs/>
                                <w:color w:val="F2F2F2" w:themeColor="background1" w:themeShade="F2"/>
                                <w:sz w:val="28"/>
                                <w:szCs w:val="28"/>
                              </w:rPr>
                              <w:t>苏州高博职业学院</w:t>
                            </w:r>
                          </w:p>
                          <w:p w14:paraId="17F00F88">
                            <w:pPr>
                              <w:jc w:val="center"/>
                              <w:rPr>
                                <w:rFonts w:ascii="微软雅黑" w:hAnsi="微软雅黑" w:eastAsia="微软雅黑" w:cs="微软雅黑"/>
                                <w:b/>
                                <w:bCs/>
                                <w:color w:val="F2F2F2" w:themeColor="background1" w:themeShade="F2"/>
                                <w:sz w:val="28"/>
                                <w:szCs w:val="28"/>
                              </w:rPr>
                            </w:pPr>
                            <w:r>
                              <w:rPr>
                                <w:rFonts w:hint="eastAsia" w:ascii="微软雅黑" w:hAnsi="微软雅黑" w:eastAsia="微软雅黑" w:cs="微软雅黑"/>
                                <w:b/>
                                <w:bCs/>
                                <w:color w:val="F2F2F2" w:themeColor="background1" w:themeShade="F2"/>
                                <w:sz w:val="28"/>
                                <w:szCs w:val="28"/>
                              </w:rPr>
                              <w:t>二〇二四年十二月</w:t>
                            </w:r>
                          </w:p>
                          <w:p w14:paraId="7B79767F">
                            <w:pPr>
                              <w:rPr>
                                <w:rFonts w:ascii="微软雅黑" w:hAnsi="微软雅黑" w:eastAsia="微软雅黑" w:cs="微软雅黑"/>
                                <w:b/>
                                <w:bCs/>
                                <w:color w:val="FFFFFF" w:themeColor="background1"/>
                                <w:sz w:val="24"/>
                                <w:szCs w:val="24"/>
                                <w14:textFill>
                                  <w14:solidFill>
                                    <w14:schemeClr w14:val="bg1"/>
                                  </w14:solidFill>
                                </w14:textFill>
                              </w:rPr>
                            </w:pPr>
                          </w:p>
                          <w:p w14:paraId="37A68139">
                            <w:pPr>
                              <w:jc w:val="right"/>
                              <w:rPr>
                                <w:rFonts w:ascii="微软雅黑" w:hAnsi="微软雅黑" w:eastAsia="微软雅黑" w:cs="微软雅黑"/>
                                <w:b/>
                                <w:bCs/>
                                <w:color w:val="FFFFFF" w:themeColor="background1"/>
                                <w:sz w:val="160"/>
                                <w:szCs w:val="160"/>
                                <w14:textFill>
                                  <w14:solidFill>
                                    <w14:schemeClr w14:val="bg1"/>
                                  </w14:solidFill>
                                </w14:textFill>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5.35pt;margin-top:485.85pt;height:246.7pt;width:510.25pt;z-index:251661312;mso-width-relative:page;mso-height-relative:page;" filled="f" stroked="f" coordsize="21600,21600" o:gfxdata="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LSHmzTdAAAADAEAAA8AAAAAAAAA&#10;AQAgAAAAIgAAAGRycy9kb3ducmV2LnhtbFBLAQIUABQAAAAIAIdO4kDzd5HhRQIAAHcEAAAOAAAA&#10;AAAAAAEAIAAAACwBAABkcnMvZTJvRG9jLnhtbFBLBQYAAAAABgAGAFkBAADjBQAAAAA=&#10;">
                <v:fill on="f" focussize="0,0"/>
                <v:stroke on="f" weight="0.5pt"/>
                <v:imagedata o:title=""/>
                <o:lock v:ext="edit" aspectratio="f"/>
                <v:textbox>
                  <w:txbxContent>
                    <w:p w14:paraId="1E16662D">
                      <w:pPr>
                        <w:jc w:val="right"/>
                        <w:rPr>
                          <w:rFonts w:ascii="微软雅黑" w:hAnsi="微软雅黑" w:eastAsia="微软雅黑" w:cs="微软雅黑"/>
                          <w:b/>
                          <w:bCs/>
                          <w:color w:val="FFFFFF" w:themeColor="background1"/>
                          <w:sz w:val="160"/>
                          <w:szCs w:val="160"/>
                          <w14:textFill>
                            <w14:solidFill>
                              <w14:schemeClr w14:val="bg1"/>
                            </w14:solidFill>
                          </w14:textFill>
                        </w:rPr>
                      </w:pPr>
                      <w:r>
                        <w:rPr>
                          <w:rFonts w:hint="eastAsia" w:ascii="微软雅黑" w:hAnsi="微软雅黑" w:eastAsia="微软雅黑" w:cs="微软雅黑"/>
                          <w:b/>
                          <w:bCs/>
                          <w:color w:val="FFFFFF" w:themeColor="background1"/>
                          <w:sz w:val="160"/>
                          <w:szCs w:val="160"/>
                          <w14:textFill>
                            <w14:solidFill>
                              <w14:schemeClr w14:val="bg1"/>
                            </w14:solidFill>
                          </w14:textFill>
                        </w:rPr>
                        <w:t>2024</w:t>
                      </w:r>
                    </w:p>
                    <w:p w14:paraId="2C18B59E">
                      <w:pPr>
                        <w:jc w:val="center"/>
                        <w:rPr>
                          <w:rFonts w:ascii="微软雅黑" w:hAnsi="微软雅黑" w:eastAsia="微软雅黑" w:cs="微软雅黑"/>
                          <w:b/>
                          <w:bCs/>
                          <w:color w:val="FFFFFF" w:themeColor="background1"/>
                          <w:sz w:val="28"/>
                          <w:szCs w:val="28"/>
                          <w14:textFill>
                            <w14:solidFill>
                              <w14:schemeClr w14:val="bg1"/>
                            </w14:solidFill>
                          </w14:textFill>
                        </w:rPr>
                      </w:pPr>
                    </w:p>
                    <w:p w14:paraId="69756669">
                      <w:pPr>
                        <w:jc w:val="center"/>
                        <w:rPr>
                          <w:rFonts w:ascii="微软雅黑" w:hAnsi="微软雅黑" w:eastAsia="微软雅黑" w:cs="微软雅黑"/>
                          <w:b/>
                          <w:bCs/>
                          <w:color w:val="F2F2F2" w:themeColor="background1" w:themeShade="F2"/>
                          <w:sz w:val="28"/>
                          <w:szCs w:val="28"/>
                        </w:rPr>
                      </w:pPr>
                      <w:r>
                        <w:rPr>
                          <w:rFonts w:hint="eastAsia" w:ascii="微软雅黑" w:hAnsi="微软雅黑" w:eastAsia="微软雅黑" w:cs="微软雅黑"/>
                          <w:b/>
                          <w:bCs/>
                          <w:color w:val="F2F2F2" w:themeColor="background1" w:themeShade="F2"/>
                          <w:sz w:val="28"/>
                          <w:szCs w:val="28"/>
                        </w:rPr>
                        <w:t>苏州高博职业学院</w:t>
                      </w:r>
                    </w:p>
                    <w:p w14:paraId="17F00F88">
                      <w:pPr>
                        <w:jc w:val="center"/>
                        <w:rPr>
                          <w:rFonts w:ascii="微软雅黑" w:hAnsi="微软雅黑" w:eastAsia="微软雅黑" w:cs="微软雅黑"/>
                          <w:b/>
                          <w:bCs/>
                          <w:color w:val="F2F2F2" w:themeColor="background1" w:themeShade="F2"/>
                          <w:sz w:val="28"/>
                          <w:szCs w:val="28"/>
                        </w:rPr>
                      </w:pPr>
                      <w:r>
                        <w:rPr>
                          <w:rFonts w:hint="eastAsia" w:ascii="微软雅黑" w:hAnsi="微软雅黑" w:eastAsia="微软雅黑" w:cs="微软雅黑"/>
                          <w:b/>
                          <w:bCs/>
                          <w:color w:val="F2F2F2" w:themeColor="background1" w:themeShade="F2"/>
                          <w:sz w:val="28"/>
                          <w:szCs w:val="28"/>
                        </w:rPr>
                        <w:t>二〇二四年十二月</w:t>
                      </w:r>
                    </w:p>
                    <w:p w14:paraId="7B79767F">
                      <w:pPr>
                        <w:rPr>
                          <w:rFonts w:ascii="微软雅黑" w:hAnsi="微软雅黑" w:eastAsia="微软雅黑" w:cs="微软雅黑"/>
                          <w:b/>
                          <w:bCs/>
                          <w:color w:val="FFFFFF" w:themeColor="background1"/>
                          <w:sz w:val="24"/>
                          <w:szCs w:val="24"/>
                          <w14:textFill>
                            <w14:solidFill>
                              <w14:schemeClr w14:val="bg1"/>
                            </w14:solidFill>
                          </w14:textFill>
                        </w:rPr>
                      </w:pPr>
                    </w:p>
                    <w:p w14:paraId="37A68139">
                      <w:pPr>
                        <w:jc w:val="right"/>
                        <w:rPr>
                          <w:rFonts w:ascii="微软雅黑" w:hAnsi="微软雅黑" w:eastAsia="微软雅黑" w:cs="微软雅黑"/>
                          <w:b/>
                          <w:bCs/>
                          <w:color w:val="FFFFFF" w:themeColor="background1"/>
                          <w:sz w:val="160"/>
                          <w:szCs w:val="160"/>
                          <w14:textFill>
                            <w14:solidFill>
                              <w14:schemeClr w14:val="bg1"/>
                            </w14:solidFill>
                          </w14:textFill>
                        </w:rPr>
                      </w:pPr>
                    </w:p>
                  </w:txbxContent>
                </v:textbox>
              </v:shape>
            </w:pict>
          </mc:Fallback>
        </mc:AlternateContent>
      </w:r>
      <w:r>
        <w:rPr>
          <w:rFonts w:hint="eastAsia"/>
          <w:color w:val="FF0000"/>
        </w:rPr>
        <w:drawing>
          <wp:anchor distT="0" distB="0" distL="114300" distR="114300" simplePos="0" relativeHeight="251659264" behindDoc="1" locked="0" layoutInCell="1" allowOverlap="1">
            <wp:simplePos x="0" y="0"/>
            <wp:positionH relativeFrom="column">
              <wp:posOffset>-1008380</wp:posOffset>
            </wp:positionH>
            <wp:positionV relativeFrom="paragraph">
              <wp:posOffset>-1080135</wp:posOffset>
            </wp:positionV>
            <wp:extent cx="7574280" cy="10714355"/>
            <wp:effectExtent l="0" t="0" r="7620" b="4445"/>
            <wp:wrapNone/>
            <wp:docPr id="24" name="ABU设计" descr="F:\稻壳-阿源设计\H活动供稿\2019-08-08-封面\3-项目计划-10-10\改\9.jpg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ABU设计" descr="F:\稻壳-阿源设计\H活动供稿\2019-08-08-封面\3-项目计划-10-10\改\9.jpg9"/>
                    <pic:cNvPicPr>
                      <a:picLocks noChangeAspect="1"/>
                    </pic:cNvPicPr>
                  </pic:nvPicPr>
                  <pic:blipFill>
                    <a:blip r:embed="rId5"/>
                    <a:srcRect/>
                    <a:stretch>
                      <a:fillRect/>
                    </a:stretch>
                  </pic:blipFill>
                  <pic:spPr>
                    <a:xfrm>
                      <a:off x="0" y="0"/>
                      <a:ext cx="7574280" cy="10714355"/>
                    </a:xfrm>
                    <a:prstGeom prst="rect">
                      <a:avLst/>
                    </a:prstGeom>
                    <a:ln>
                      <a:noFill/>
                    </a:ln>
                  </pic:spPr>
                </pic:pic>
              </a:graphicData>
            </a:graphic>
          </wp:anchor>
        </w:drawing>
      </w:r>
    </w:p>
    <w:p w14:paraId="06AE0D31">
      <w:pPr>
        <w:ind w:firstLine="422" w:firstLineChars="200"/>
        <w:rPr>
          <w:rFonts w:ascii="宋体" w:hAnsi="宋体" w:eastAsia="宋体"/>
          <w:b/>
          <w:color w:val="FF0000"/>
          <w:szCs w:val="21"/>
        </w:rPr>
      </w:pPr>
    </w:p>
    <w:p w14:paraId="33100998">
      <w:pPr>
        <w:ind w:firstLine="422" w:firstLineChars="200"/>
        <w:rPr>
          <w:rFonts w:ascii="宋体" w:hAnsi="宋体" w:eastAsia="宋体"/>
          <w:b/>
          <w:color w:val="FF0000"/>
          <w:szCs w:val="21"/>
        </w:rPr>
      </w:pPr>
    </w:p>
    <w:p w14:paraId="236CEB67">
      <w:pPr>
        <w:ind w:firstLine="422" w:firstLineChars="200"/>
        <w:rPr>
          <w:rFonts w:ascii="宋体" w:hAnsi="宋体" w:eastAsia="宋体"/>
          <w:b/>
          <w:color w:val="FF0000"/>
          <w:szCs w:val="21"/>
        </w:rPr>
      </w:pPr>
    </w:p>
    <w:p w14:paraId="141CBAFD">
      <w:pPr>
        <w:ind w:firstLine="422" w:firstLineChars="200"/>
        <w:rPr>
          <w:rFonts w:ascii="宋体" w:hAnsi="宋体" w:eastAsia="宋体"/>
          <w:b/>
          <w:color w:val="FF0000"/>
          <w:szCs w:val="21"/>
        </w:rPr>
      </w:pPr>
    </w:p>
    <w:p w14:paraId="40E1F6F0">
      <w:pPr>
        <w:ind w:firstLine="422" w:firstLineChars="200"/>
        <w:rPr>
          <w:rFonts w:ascii="宋体" w:hAnsi="宋体" w:eastAsia="宋体"/>
          <w:b/>
          <w:color w:val="FF0000"/>
          <w:szCs w:val="21"/>
        </w:rPr>
      </w:pPr>
    </w:p>
    <w:p w14:paraId="2D68E1BE">
      <w:pPr>
        <w:ind w:firstLine="422" w:firstLineChars="200"/>
        <w:rPr>
          <w:rFonts w:ascii="宋体" w:hAnsi="宋体" w:eastAsia="宋体"/>
          <w:b/>
          <w:color w:val="FF0000"/>
          <w:szCs w:val="21"/>
        </w:rPr>
      </w:pPr>
    </w:p>
    <w:p w14:paraId="2B4BA332">
      <w:pPr>
        <w:ind w:firstLine="422" w:firstLineChars="200"/>
        <w:rPr>
          <w:rFonts w:ascii="宋体" w:hAnsi="宋体" w:eastAsia="宋体"/>
          <w:b/>
          <w:color w:val="FF0000"/>
          <w:szCs w:val="21"/>
        </w:rPr>
      </w:pPr>
    </w:p>
    <w:p w14:paraId="5B80C4FD">
      <w:pPr>
        <w:ind w:firstLine="422" w:firstLineChars="200"/>
        <w:rPr>
          <w:rFonts w:ascii="宋体" w:hAnsi="宋体" w:eastAsia="宋体"/>
          <w:b/>
          <w:color w:val="FF0000"/>
          <w:szCs w:val="21"/>
        </w:rPr>
      </w:pPr>
    </w:p>
    <w:p w14:paraId="1D49F987">
      <w:pPr>
        <w:ind w:firstLine="422" w:firstLineChars="200"/>
        <w:rPr>
          <w:rFonts w:ascii="宋体" w:hAnsi="宋体" w:eastAsia="宋体"/>
          <w:b/>
          <w:color w:val="FF0000"/>
          <w:szCs w:val="21"/>
        </w:rPr>
      </w:pPr>
    </w:p>
    <w:p w14:paraId="2BEF83CE">
      <w:pPr>
        <w:ind w:firstLine="422" w:firstLineChars="200"/>
        <w:rPr>
          <w:rFonts w:ascii="宋体" w:hAnsi="宋体" w:eastAsia="宋体"/>
          <w:b/>
          <w:color w:val="FF0000"/>
          <w:szCs w:val="21"/>
        </w:rPr>
      </w:pPr>
    </w:p>
    <w:p w14:paraId="098DD89C">
      <w:pPr>
        <w:ind w:firstLine="422" w:firstLineChars="200"/>
        <w:rPr>
          <w:rFonts w:ascii="宋体" w:hAnsi="宋体" w:eastAsia="宋体"/>
          <w:b/>
          <w:color w:val="FF0000"/>
          <w:szCs w:val="21"/>
        </w:rPr>
      </w:pPr>
    </w:p>
    <w:p w14:paraId="74C66E94">
      <w:pPr>
        <w:rPr>
          <w:rFonts w:ascii="宋体" w:hAnsi="宋体" w:eastAsia="宋体"/>
          <w:b/>
          <w:color w:val="FF0000"/>
          <w:szCs w:val="21"/>
        </w:rPr>
      </w:pPr>
    </w:p>
    <w:p w14:paraId="7B8D6BCA">
      <w:pPr>
        <w:ind w:firstLine="422" w:firstLineChars="200"/>
        <w:rPr>
          <w:rFonts w:ascii="宋体" w:hAnsi="宋体" w:eastAsia="宋体"/>
          <w:b/>
          <w:color w:val="FF0000"/>
          <w:szCs w:val="21"/>
        </w:rPr>
      </w:pPr>
    </w:p>
    <w:p w14:paraId="075EE4DF">
      <w:pPr>
        <w:ind w:firstLine="422" w:firstLineChars="200"/>
        <w:rPr>
          <w:rFonts w:ascii="宋体" w:hAnsi="宋体" w:eastAsia="宋体"/>
          <w:b/>
          <w:color w:val="FF0000"/>
          <w:szCs w:val="21"/>
        </w:rPr>
      </w:pPr>
    </w:p>
    <w:p w14:paraId="0D6CA170">
      <w:pPr>
        <w:ind w:firstLine="422" w:firstLineChars="200"/>
        <w:rPr>
          <w:rFonts w:ascii="宋体" w:hAnsi="宋体" w:eastAsia="宋体"/>
          <w:b/>
          <w:color w:val="FF0000"/>
          <w:szCs w:val="21"/>
        </w:rPr>
      </w:pPr>
    </w:p>
    <w:p w14:paraId="65D6FC07">
      <w:pPr>
        <w:ind w:firstLine="422" w:firstLineChars="200"/>
        <w:rPr>
          <w:rFonts w:ascii="宋体" w:hAnsi="宋体" w:eastAsia="宋体"/>
          <w:b/>
          <w:color w:val="FF0000"/>
          <w:szCs w:val="21"/>
        </w:rPr>
      </w:pPr>
    </w:p>
    <w:p w14:paraId="231AA9FB">
      <w:pPr>
        <w:ind w:firstLine="422" w:firstLineChars="200"/>
        <w:rPr>
          <w:rFonts w:ascii="宋体" w:hAnsi="宋体" w:eastAsia="宋体"/>
          <w:b/>
          <w:color w:val="FF0000"/>
          <w:szCs w:val="21"/>
        </w:rPr>
      </w:pPr>
    </w:p>
    <w:p w14:paraId="19F23C6F">
      <w:pPr>
        <w:ind w:firstLine="422" w:firstLineChars="200"/>
        <w:rPr>
          <w:rFonts w:ascii="宋体" w:hAnsi="宋体" w:eastAsia="宋体"/>
          <w:b/>
          <w:color w:val="FF0000"/>
          <w:szCs w:val="21"/>
        </w:rPr>
      </w:pPr>
    </w:p>
    <w:p w14:paraId="37F61C63">
      <w:pPr>
        <w:ind w:firstLine="422" w:firstLineChars="200"/>
        <w:rPr>
          <w:rFonts w:ascii="宋体" w:hAnsi="宋体" w:eastAsia="宋体"/>
          <w:b/>
          <w:color w:val="FF0000"/>
          <w:szCs w:val="21"/>
        </w:rPr>
      </w:pPr>
    </w:p>
    <w:p w14:paraId="3F770BC5">
      <w:pPr>
        <w:ind w:firstLine="422" w:firstLineChars="200"/>
        <w:rPr>
          <w:rFonts w:ascii="宋体" w:hAnsi="宋体" w:eastAsia="宋体"/>
          <w:b/>
          <w:color w:val="FF0000"/>
          <w:szCs w:val="21"/>
        </w:rPr>
      </w:pPr>
    </w:p>
    <w:p w14:paraId="0B354A44">
      <w:pPr>
        <w:ind w:firstLine="422" w:firstLineChars="200"/>
        <w:rPr>
          <w:rFonts w:ascii="宋体" w:hAnsi="宋体" w:eastAsia="宋体"/>
          <w:b/>
          <w:color w:val="FF0000"/>
          <w:szCs w:val="21"/>
        </w:rPr>
      </w:pPr>
    </w:p>
    <w:p w14:paraId="6DD4CAA5">
      <w:pPr>
        <w:ind w:firstLine="422" w:firstLineChars="200"/>
        <w:rPr>
          <w:rFonts w:ascii="宋体" w:hAnsi="宋体" w:eastAsia="宋体"/>
          <w:b/>
          <w:color w:val="FF0000"/>
          <w:szCs w:val="21"/>
        </w:rPr>
      </w:pPr>
    </w:p>
    <w:p w14:paraId="3F4353DF">
      <w:pPr>
        <w:ind w:firstLine="422" w:firstLineChars="200"/>
        <w:rPr>
          <w:rFonts w:ascii="宋体" w:hAnsi="宋体" w:eastAsia="宋体"/>
          <w:b/>
          <w:color w:val="FF0000"/>
          <w:szCs w:val="21"/>
        </w:rPr>
      </w:pPr>
    </w:p>
    <w:p w14:paraId="1F48AD04">
      <w:pPr>
        <w:ind w:firstLine="422" w:firstLineChars="200"/>
        <w:rPr>
          <w:rFonts w:ascii="宋体" w:hAnsi="宋体" w:eastAsia="宋体"/>
          <w:b/>
          <w:color w:val="FF0000"/>
          <w:szCs w:val="21"/>
        </w:rPr>
      </w:pPr>
    </w:p>
    <w:p w14:paraId="3FA009D6">
      <w:pPr>
        <w:ind w:firstLine="422" w:firstLineChars="200"/>
        <w:rPr>
          <w:rFonts w:ascii="宋体" w:hAnsi="宋体" w:eastAsia="宋体"/>
          <w:b/>
          <w:color w:val="FF0000"/>
          <w:szCs w:val="21"/>
        </w:rPr>
      </w:pPr>
    </w:p>
    <w:p w14:paraId="70B75AE0">
      <w:pPr>
        <w:ind w:firstLine="422" w:firstLineChars="200"/>
        <w:rPr>
          <w:rFonts w:ascii="宋体" w:hAnsi="宋体" w:eastAsia="宋体"/>
          <w:b/>
          <w:color w:val="FF0000"/>
          <w:szCs w:val="21"/>
        </w:rPr>
      </w:pPr>
    </w:p>
    <w:p w14:paraId="21F1FCE1">
      <w:pPr>
        <w:ind w:firstLine="422" w:firstLineChars="200"/>
        <w:rPr>
          <w:rFonts w:ascii="宋体" w:hAnsi="宋体" w:eastAsia="宋体"/>
          <w:b/>
          <w:color w:val="FF0000"/>
          <w:szCs w:val="21"/>
        </w:rPr>
      </w:pPr>
    </w:p>
    <w:p w14:paraId="5E6F70B3">
      <w:pPr>
        <w:ind w:firstLine="422" w:firstLineChars="200"/>
        <w:rPr>
          <w:rFonts w:ascii="宋体" w:hAnsi="宋体" w:eastAsia="宋体"/>
          <w:b/>
          <w:color w:val="FF0000"/>
          <w:szCs w:val="21"/>
        </w:rPr>
      </w:pPr>
    </w:p>
    <w:p w14:paraId="0AAB4561">
      <w:pPr>
        <w:ind w:firstLine="422" w:firstLineChars="200"/>
        <w:rPr>
          <w:rFonts w:ascii="宋体" w:hAnsi="宋体" w:eastAsia="宋体"/>
          <w:b/>
          <w:color w:val="FF0000"/>
          <w:szCs w:val="21"/>
        </w:rPr>
      </w:pPr>
    </w:p>
    <w:p w14:paraId="2FA50F34">
      <w:pPr>
        <w:ind w:firstLine="422" w:firstLineChars="200"/>
        <w:rPr>
          <w:rFonts w:ascii="宋体" w:hAnsi="宋体" w:eastAsia="宋体"/>
          <w:b/>
          <w:color w:val="FF0000"/>
          <w:szCs w:val="21"/>
        </w:rPr>
      </w:pPr>
    </w:p>
    <w:p w14:paraId="147CF069">
      <w:pPr>
        <w:ind w:firstLine="422" w:firstLineChars="200"/>
        <w:rPr>
          <w:rFonts w:ascii="宋体" w:hAnsi="宋体" w:eastAsia="宋体"/>
          <w:b/>
          <w:color w:val="FF0000"/>
          <w:szCs w:val="21"/>
        </w:rPr>
      </w:pPr>
    </w:p>
    <w:p w14:paraId="1A0657D9">
      <w:pPr>
        <w:ind w:firstLine="422" w:firstLineChars="200"/>
        <w:rPr>
          <w:rFonts w:ascii="宋体" w:hAnsi="宋体" w:eastAsia="宋体"/>
          <w:b/>
          <w:color w:val="FF0000"/>
          <w:szCs w:val="21"/>
        </w:rPr>
      </w:pPr>
    </w:p>
    <w:p w14:paraId="1A7ACCB9">
      <w:pPr>
        <w:ind w:firstLine="422" w:firstLineChars="200"/>
        <w:rPr>
          <w:rFonts w:ascii="宋体" w:hAnsi="宋体" w:eastAsia="宋体"/>
          <w:b/>
          <w:color w:val="FF0000"/>
          <w:szCs w:val="21"/>
        </w:rPr>
      </w:pPr>
    </w:p>
    <w:p w14:paraId="485FB0DF">
      <w:pPr>
        <w:numPr>
          <w:ilvl w:val="0"/>
          <w:numId w:val="1"/>
        </w:numPr>
        <w:spacing w:before="156" w:beforeLines="50" w:after="156" w:afterLines="50" w:line="360" w:lineRule="auto"/>
        <w:ind w:firstLine="562" w:firstLineChars="200"/>
        <w:rPr>
          <w:rFonts w:ascii="黑体" w:hAnsi="黑体" w:eastAsia="黑体" w:cs="黑体"/>
          <w:b/>
          <w:color w:val="auto"/>
          <w:sz w:val="28"/>
          <w:szCs w:val="28"/>
        </w:rPr>
      </w:pPr>
      <w:r>
        <w:rPr>
          <w:rFonts w:hint="eastAsia" w:ascii="黑体" w:hAnsi="黑体" w:eastAsia="黑体" w:cs="黑体"/>
          <w:b/>
          <w:color w:val="auto"/>
          <w:sz w:val="28"/>
          <w:szCs w:val="28"/>
        </w:rPr>
        <w:t>企业概况</w:t>
      </w:r>
    </w:p>
    <w:p w14:paraId="40A13802">
      <w:pPr>
        <w:pStyle w:val="6"/>
        <w:keepNext w:val="0"/>
        <w:keepLines w:val="0"/>
        <w:pageBreakBefore w:val="0"/>
        <w:widowControl/>
        <w:suppressLineNumbers w:val="0"/>
        <w:kinsoku/>
        <w:wordWrap/>
        <w:overflowPunct/>
        <w:topLinePunct w:val="0"/>
        <w:autoSpaceDE/>
        <w:autoSpaceDN/>
        <w:bidi w:val="0"/>
        <w:adjustRightInd/>
        <w:snapToGrid/>
        <w:spacing w:afterAutospacing="0" w:line="360" w:lineRule="auto"/>
        <w:ind w:left="0" w:firstLine="480" w:firstLineChars="200"/>
        <w:textAlignment w:val="auto"/>
        <w:rPr>
          <w:rFonts w:hint="eastAsia" w:ascii="仿宋_GB2312" w:hAnsi="仿宋_GB2312" w:eastAsia="仿宋_GB2312" w:cs="仿宋_GB2312"/>
          <w:color w:val="auto"/>
          <w:kern w:val="2"/>
          <w:sz w:val="24"/>
          <w:szCs w:val="24"/>
          <w:shd w:val="clear" w:color="auto" w:fill="FFFFFF"/>
          <w:lang w:val="en-US" w:eastAsia="zh-CN" w:bidi="ar-SA"/>
        </w:rPr>
      </w:pPr>
      <w:r>
        <w:rPr>
          <w:rFonts w:hint="default" w:ascii="仿宋_GB2312" w:hAnsi="仿宋_GB2312" w:eastAsia="仿宋_GB2312" w:cs="仿宋_GB2312"/>
          <w:color w:val="auto"/>
          <w:kern w:val="2"/>
          <w:sz w:val="24"/>
          <w:szCs w:val="24"/>
          <w:shd w:val="clear" w:color="auto" w:fill="FFFFFF"/>
          <w:lang w:val="en-US" w:eastAsia="zh-CN" w:bidi="ar-SA"/>
        </w:rPr>
        <w:t>苏州率果建筑艺术设计有限公司是一家</w:t>
      </w:r>
      <w:r>
        <w:rPr>
          <w:rFonts w:hint="eastAsia" w:ascii="仿宋_GB2312" w:hAnsi="仿宋_GB2312" w:eastAsia="仿宋_GB2312" w:cs="仿宋_GB2312"/>
          <w:color w:val="auto"/>
          <w:kern w:val="2"/>
          <w:sz w:val="24"/>
          <w:szCs w:val="24"/>
          <w:shd w:val="clear" w:color="auto" w:fill="FFFFFF"/>
          <w:lang w:val="en-US" w:eastAsia="zh-CN" w:bidi="ar-SA"/>
        </w:rPr>
        <w:t>专注于室内装饰及装饰工程配套服务的专业机构</w:t>
      </w:r>
      <w:r>
        <w:rPr>
          <w:rFonts w:hint="default" w:ascii="仿宋_GB2312" w:hAnsi="仿宋_GB2312" w:eastAsia="仿宋_GB2312" w:cs="仿宋_GB2312"/>
          <w:color w:val="auto"/>
          <w:kern w:val="2"/>
          <w:sz w:val="24"/>
          <w:szCs w:val="24"/>
          <w:shd w:val="clear" w:color="auto" w:fill="FFFFFF"/>
          <w:lang w:val="en-US" w:eastAsia="zh-CN" w:bidi="ar-SA"/>
        </w:rPr>
        <w:t>。</w:t>
      </w:r>
      <w:r>
        <w:rPr>
          <w:rFonts w:hint="eastAsia" w:ascii="仿宋_GB2312" w:hAnsi="仿宋_GB2312" w:eastAsia="仿宋_GB2312" w:cs="仿宋_GB2312"/>
          <w:color w:val="auto"/>
          <w:kern w:val="2"/>
          <w:sz w:val="24"/>
          <w:szCs w:val="24"/>
          <w:shd w:val="clear" w:color="auto" w:fill="FFFFFF"/>
          <w:lang w:val="en-US" w:eastAsia="zh-CN" w:bidi="ar-SA"/>
        </w:rPr>
        <w:t>以探索创新和理性务实为设计理念，提供别墅住宅私属定制，为精品酒店、医疗养老、高端餐饮、会所、办公等相关客户提供室内设计及咨询服务。</w:t>
      </w:r>
      <w:r>
        <w:rPr>
          <w:rFonts w:hint="default" w:ascii="仿宋_GB2312" w:hAnsi="仿宋_GB2312" w:eastAsia="仿宋_GB2312" w:cs="仿宋_GB2312"/>
          <w:color w:val="auto"/>
          <w:kern w:val="2"/>
          <w:sz w:val="24"/>
          <w:szCs w:val="24"/>
          <w:shd w:val="clear" w:color="auto" w:fill="FFFFFF"/>
          <w:lang w:val="en-US" w:eastAsia="zh-CN" w:bidi="ar-SA"/>
        </w:rPr>
        <w:t>公司始终秉持着创新、卓越、专业的理念，致力于为客户提供高品质的艺术设计解决方案。公司汇聚了一批来自不同的专业背景</w:t>
      </w:r>
      <w:r>
        <w:rPr>
          <w:rFonts w:hint="eastAsia" w:ascii="仿宋_GB2312" w:hAnsi="仿宋_GB2312" w:eastAsia="仿宋_GB2312" w:cs="仿宋_GB2312"/>
          <w:color w:val="auto"/>
          <w:kern w:val="2"/>
          <w:sz w:val="24"/>
          <w:szCs w:val="24"/>
          <w:shd w:val="clear" w:color="auto" w:fill="FFFFFF"/>
          <w:lang w:val="en-US" w:eastAsia="zh-CN" w:bidi="ar-SA"/>
        </w:rPr>
        <w:t>，</w:t>
      </w:r>
      <w:r>
        <w:rPr>
          <w:rFonts w:hint="default" w:ascii="仿宋_GB2312" w:hAnsi="仿宋_GB2312" w:eastAsia="仿宋_GB2312" w:cs="仿宋_GB2312"/>
          <w:color w:val="auto"/>
          <w:kern w:val="2"/>
          <w:sz w:val="24"/>
          <w:szCs w:val="24"/>
          <w:shd w:val="clear" w:color="auto" w:fill="FFFFFF"/>
          <w:lang w:val="en-US" w:eastAsia="zh-CN" w:bidi="ar-SA"/>
        </w:rPr>
        <w:t>富有才华、经验丰富的设计师团队，涵盖室内设计、</w:t>
      </w:r>
      <w:r>
        <w:rPr>
          <w:rFonts w:hint="eastAsia" w:ascii="仿宋_GB2312" w:hAnsi="仿宋_GB2312" w:eastAsia="仿宋_GB2312" w:cs="仿宋_GB2312"/>
          <w:color w:val="auto"/>
          <w:kern w:val="2"/>
          <w:sz w:val="24"/>
          <w:szCs w:val="24"/>
          <w:shd w:val="clear" w:color="auto" w:fill="FFFFFF"/>
          <w:lang w:val="en-US" w:eastAsia="zh-CN" w:bidi="ar-SA"/>
        </w:rPr>
        <w:t>灯光设计、</w:t>
      </w:r>
      <w:r>
        <w:rPr>
          <w:rFonts w:hint="default" w:ascii="仿宋_GB2312" w:hAnsi="仿宋_GB2312" w:eastAsia="仿宋_GB2312" w:cs="仿宋_GB2312"/>
          <w:color w:val="auto"/>
          <w:kern w:val="2"/>
          <w:sz w:val="24"/>
          <w:szCs w:val="24"/>
          <w:shd w:val="clear" w:color="auto" w:fill="FFFFFF"/>
          <w:lang w:val="en-US" w:eastAsia="zh-CN" w:bidi="ar-SA"/>
        </w:rPr>
        <w:t>景观设计等多个领域，凭借着深厚的专业知识和敏锐的艺术感知力，在每一个项目中都展现出独特的设计魅力。</w:t>
      </w:r>
    </w:p>
    <w:p w14:paraId="00E20BDB">
      <w:pPr>
        <w:spacing w:line="360" w:lineRule="auto"/>
        <w:ind w:firstLine="480" w:firstLineChars="200"/>
        <w:rPr>
          <w:rFonts w:hint="default" w:ascii="仿宋_GB2312" w:hAnsi="仿宋_GB2312" w:eastAsia="仿宋_GB2312" w:cs="仿宋_GB2312"/>
          <w:color w:val="FF0000"/>
          <w:sz w:val="24"/>
          <w:szCs w:val="24"/>
          <w:shd w:val="clear" w:color="auto" w:fill="FFFFFF"/>
          <w:lang w:val="en-US" w:eastAsia="zh-CN"/>
        </w:rPr>
      </w:pPr>
      <w:r>
        <w:rPr>
          <w:rFonts w:hint="eastAsia" w:ascii="仿宋_GB2312" w:hAnsi="仿宋_GB2312" w:eastAsia="仿宋_GB2312" w:cs="仿宋_GB2312"/>
          <w:color w:val="auto"/>
          <w:kern w:val="2"/>
          <w:sz w:val="24"/>
          <w:szCs w:val="24"/>
          <w:shd w:val="clear" w:color="auto" w:fill="FFFFFF"/>
          <w:lang w:val="en-US" w:eastAsia="zh-CN" w:bidi="ar-SA"/>
        </w:rPr>
        <w:t>公司设计咨询服务项目涵盖全国多个省、市，如：呼和浩特香格里拉酒店、贵阳轻开医院、界首第二人民医院、扬子江酒店、浦华大酒店、西安神木大厦办公楼。</w:t>
      </w:r>
    </w:p>
    <w:p w14:paraId="4F030A2D">
      <w:pPr>
        <w:spacing w:before="156" w:beforeLines="50" w:after="156" w:afterLines="50" w:line="360" w:lineRule="auto"/>
        <w:ind w:firstLine="562" w:firstLineChars="200"/>
        <w:rPr>
          <w:rFonts w:ascii="黑体" w:hAnsi="黑体" w:eastAsia="黑体" w:cs="黑体"/>
          <w:b/>
          <w:color w:val="auto"/>
          <w:sz w:val="28"/>
          <w:szCs w:val="28"/>
        </w:rPr>
      </w:pPr>
      <w:r>
        <w:rPr>
          <w:rFonts w:hint="eastAsia" w:ascii="黑体" w:hAnsi="黑体" w:eastAsia="黑体" w:cs="黑体"/>
          <w:b/>
          <w:color w:val="auto"/>
          <w:sz w:val="28"/>
          <w:szCs w:val="28"/>
        </w:rPr>
        <w:t>二、资源投入</w:t>
      </w:r>
    </w:p>
    <w:p w14:paraId="3C66A6DF">
      <w:pPr>
        <w:spacing w:line="360" w:lineRule="auto"/>
        <w:ind w:firstLine="480" w:firstLineChars="200"/>
        <w:rPr>
          <w:rFonts w:hint="eastAsia" w:ascii="仿宋_GB2312" w:hAnsi="仿宋_GB2312" w:eastAsia="仿宋_GB2312" w:cs="仿宋_GB2312"/>
          <w:color w:val="FF0000"/>
          <w:kern w:val="2"/>
          <w:sz w:val="24"/>
          <w:szCs w:val="24"/>
          <w:shd w:val="clear" w:color="auto" w:fill="FFFFFF"/>
          <w:lang w:val="en-US" w:eastAsia="zh-CN" w:bidi="ar-SA"/>
        </w:rPr>
      </w:pPr>
      <w:r>
        <w:rPr>
          <w:rFonts w:hint="eastAsia" w:ascii="仿宋_GB2312" w:hAnsi="仿宋_GB2312" w:eastAsia="仿宋_GB2312" w:cs="仿宋_GB2312"/>
          <w:color w:val="auto"/>
          <w:kern w:val="2"/>
          <w:sz w:val="24"/>
          <w:szCs w:val="24"/>
          <w:shd w:val="clear" w:color="auto" w:fill="FFFFFF"/>
          <w:lang w:val="en-US" w:eastAsia="zh-CN" w:bidi="ar-SA"/>
        </w:rPr>
        <w:t>自2023年10月校企校企双方接洽以来，前期在课程建设、师资建设、实训基地建设等多等方面有深入探讨，2024年5月正式订购签订校企合作协议，企业积极参与学院专业人才培养方案制定、师资队伍建设、实践教学与实习基地建设、教学质量评估与改进……等，提供岗位供专业教师企业实践。引入区域行业企业一线设计师到校进行行业交流，为毕业时提供顶岗实训岗位，同期建设可容纳10-25名学生的企业实训基地，多次为“云班级提优班”开展线下线上项目教学，参与学生逾200人次。企业实训基地配置专业设备，清单如下：</w:t>
      </w:r>
    </w:p>
    <w:tbl>
      <w:tblPr>
        <w:tblStyle w:val="8"/>
        <w:tblpPr w:leftFromText="180" w:rightFromText="180" w:vertAnchor="text" w:horzAnchor="page" w:tblpX="2497" w:tblpY="332"/>
        <w:tblOverlap w:val="never"/>
        <w:tblW w:w="7460" w:type="dxa"/>
        <w:tblInd w:w="0" w:type="dxa"/>
        <w:tblLayout w:type="fixed"/>
        <w:tblCellMar>
          <w:top w:w="0" w:type="dxa"/>
          <w:left w:w="108" w:type="dxa"/>
          <w:bottom w:w="0" w:type="dxa"/>
          <w:right w:w="108" w:type="dxa"/>
        </w:tblCellMar>
      </w:tblPr>
      <w:tblGrid>
        <w:gridCol w:w="2670"/>
        <w:gridCol w:w="1690"/>
        <w:gridCol w:w="3100"/>
      </w:tblGrid>
      <w:tr w14:paraId="6A4BD728">
        <w:tblPrEx>
          <w:tblCellMar>
            <w:top w:w="0" w:type="dxa"/>
            <w:left w:w="108" w:type="dxa"/>
            <w:bottom w:w="0" w:type="dxa"/>
            <w:right w:w="108" w:type="dxa"/>
          </w:tblCellMar>
        </w:tblPrEx>
        <w:trPr>
          <w:trHeight w:val="499" w:hRule="atLeast"/>
        </w:trPr>
        <w:tc>
          <w:tcPr>
            <w:tcW w:w="2670"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1F20AFA">
            <w:pPr>
              <w:widowControl/>
              <w:spacing w:line="360" w:lineRule="auto"/>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设备名称</w:t>
            </w:r>
          </w:p>
        </w:tc>
        <w:tc>
          <w:tcPr>
            <w:tcW w:w="1690"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BE798EB">
            <w:pPr>
              <w:widowControl/>
              <w:spacing w:line="360" w:lineRule="auto"/>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单位</w:t>
            </w:r>
          </w:p>
        </w:tc>
        <w:tc>
          <w:tcPr>
            <w:tcW w:w="3100"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F66D669">
            <w:pPr>
              <w:widowControl/>
              <w:spacing w:line="360" w:lineRule="auto"/>
              <w:jc w:val="center"/>
              <w:rPr>
                <w:rFonts w:hint="default" w:ascii="仿宋" w:hAnsi="仿宋" w:eastAsia="仿宋" w:cs="仿宋"/>
                <w:b/>
                <w:bCs/>
                <w:color w:val="000000"/>
                <w:kern w:val="0"/>
                <w:sz w:val="24"/>
                <w:szCs w:val="24"/>
                <w:lang w:val="en-US" w:eastAsia="zh-CN"/>
              </w:rPr>
            </w:pPr>
            <w:r>
              <w:rPr>
                <w:rFonts w:hint="eastAsia" w:ascii="仿宋" w:hAnsi="仿宋" w:eastAsia="仿宋" w:cs="仿宋"/>
                <w:b/>
                <w:bCs/>
                <w:color w:val="000000"/>
                <w:kern w:val="0"/>
                <w:sz w:val="24"/>
                <w:szCs w:val="24"/>
              </w:rPr>
              <w:t>数量</w:t>
            </w:r>
          </w:p>
        </w:tc>
      </w:tr>
      <w:tr w14:paraId="21D56F8A">
        <w:tblPrEx>
          <w:tblCellMar>
            <w:top w:w="0" w:type="dxa"/>
            <w:left w:w="108" w:type="dxa"/>
            <w:bottom w:w="0" w:type="dxa"/>
            <w:right w:w="108" w:type="dxa"/>
          </w:tblCellMar>
        </w:tblPrEx>
        <w:trPr>
          <w:trHeight w:val="90" w:hRule="atLeast"/>
        </w:trPr>
        <w:tc>
          <w:tcPr>
            <w:tcW w:w="2670" w:type="dxa"/>
            <w:tcBorders>
              <w:top w:val="single" w:color="auto" w:sz="4" w:space="0"/>
              <w:left w:val="single" w:color="auto" w:sz="4" w:space="0"/>
              <w:bottom w:val="nil"/>
              <w:right w:val="single" w:color="auto" w:sz="4" w:space="0"/>
            </w:tcBorders>
            <w:shd w:val="clear" w:color="auto" w:fill="auto"/>
            <w:noWrap/>
            <w:vAlign w:val="center"/>
          </w:tcPr>
          <w:p w14:paraId="563F506A">
            <w:pPr>
              <w:widowControl/>
              <w:spacing w:line="360" w:lineRule="auto"/>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台式电脑</w:t>
            </w:r>
          </w:p>
        </w:tc>
        <w:tc>
          <w:tcPr>
            <w:tcW w:w="1690" w:type="dxa"/>
            <w:tcBorders>
              <w:top w:val="single" w:color="auto" w:sz="4" w:space="0"/>
              <w:left w:val="single" w:color="auto" w:sz="4" w:space="0"/>
              <w:bottom w:val="nil"/>
              <w:right w:val="single" w:color="auto" w:sz="4" w:space="0"/>
            </w:tcBorders>
            <w:shd w:val="clear" w:color="auto" w:fill="auto"/>
            <w:noWrap/>
            <w:vAlign w:val="center"/>
          </w:tcPr>
          <w:p w14:paraId="76B1E12E">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套</w:t>
            </w:r>
          </w:p>
        </w:tc>
        <w:tc>
          <w:tcPr>
            <w:tcW w:w="3100" w:type="dxa"/>
            <w:tcBorders>
              <w:top w:val="single" w:color="auto" w:sz="4" w:space="0"/>
              <w:left w:val="single" w:color="auto" w:sz="4" w:space="0"/>
              <w:bottom w:val="nil"/>
              <w:right w:val="single" w:color="auto" w:sz="4" w:space="0"/>
            </w:tcBorders>
            <w:shd w:val="clear" w:color="auto" w:fill="auto"/>
            <w:noWrap/>
            <w:vAlign w:val="center"/>
          </w:tcPr>
          <w:p w14:paraId="22135639">
            <w:pPr>
              <w:widowControl/>
              <w:spacing w:line="360" w:lineRule="auto"/>
              <w:jc w:val="center"/>
              <w:rPr>
                <w:rFonts w:hint="default" w:ascii="仿宋" w:hAnsi="仿宋" w:eastAsia="仿宋" w:cs="仿宋"/>
                <w:color w:val="000000"/>
                <w:kern w:val="0"/>
                <w:sz w:val="24"/>
                <w:szCs w:val="24"/>
                <w:lang w:val="en-US" w:eastAsia="zh-CN"/>
              </w:rPr>
            </w:pPr>
            <w:r>
              <w:rPr>
                <w:rFonts w:hint="eastAsia" w:ascii="仿宋" w:hAnsi="仿宋" w:eastAsia="仿宋" w:cs="仿宋"/>
                <w:color w:val="000000"/>
                <w:kern w:val="0"/>
                <w:sz w:val="24"/>
                <w:szCs w:val="24"/>
                <w:lang w:val="en-US" w:eastAsia="zh-CN"/>
              </w:rPr>
              <w:t>12</w:t>
            </w:r>
          </w:p>
        </w:tc>
      </w:tr>
      <w:tr w14:paraId="2716C3E6">
        <w:tblPrEx>
          <w:tblCellMar>
            <w:top w:w="0" w:type="dxa"/>
            <w:left w:w="108" w:type="dxa"/>
            <w:bottom w:w="0" w:type="dxa"/>
            <w:right w:w="108" w:type="dxa"/>
          </w:tblCellMar>
        </w:tblPrEx>
        <w:trPr>
          <w:trHeight w:val="464" w:hRule="atLeast"/>
        </w:trPr>
        <w:tc>
          <w:tcPr>
            <w:tcW w:w="2670" w:type="dxa"/>
            <w:tcBorders>
              <w:top w:val="nil"/>
              <w:left w:val="single" w:color="auto" w:sz="4" w:space="0"/>
              <w:bottom w:val="nil"/>
              <w:right w:val="single" w:color="auto" w:sz="4" w:space="0"/>
            </w:tcBorders>
            <w:shd w:val="clear" w:color="auto" w:fill="auto"/>
            <w:noWrap/>
            <w:vAlign w:val="center"/>
          </w:tcPr>
          <w:p w14:paraId="34675C19">
            <w:pPr>
              <w:widowControl/>
              <w:spacing w:line="360" w:lineRule="auto"/>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电脑椅</w:t>
            </w:r>
          </w:p>
        </w:tc>
        <w:tc>
          <w:tcPr>
            <w:tcW w:w="1690" w:type="dxa"/>
            <w:tcBorders>
              <w:top w:val="nil"/>
              <w:left w:val="single" w:color="auto" w:sz="4" w:space="0"/>
              <w:bottom w:val="nil"/>
              <w:right w:val="single" w:color="auto" w:sz="4" w:space="0"/>
            </w:tcBorders>
            <w:shd w:val="clear" w:color="auto" w:fill="auto"/>
            <w:noWrap/>
            <w:vAlign w:val="center"/>
          </w:tcPr>
          <w:p w14:paraId="205C6BF6">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把</w:t>
            </w:r>
          </w:p>
        </w:tc>
        <w:tc>
          <w:tcPr>
            <w:tcW w:w="3100" w:type="dxa"/>
            <w:tcBorders>
              <w:top w:val="nil"/>
              <w:left w:val="single" w:color="auto" w:sz="4" w:space="0"/>
              <w:bottom w:val="nil"/>
              <w:right w:val="single" w:color="auto" w:sz="4" w:space="0"/>
            </w:tcBorders>
            <w:shd w:val="clear" w:color="auto" w:fill="auto"/>
            <w:noWrap/>
            <w:vAlign w:val="center"/>
          </w:tcPr>
          <w:p w14:paraId="4D91E7E4">
            <w:pPr>
              <w:widowControl/>
              <w:spacing w:line="360" w:lineRule="auto"/>
              <w:jc w:val="center"/>
              <w:rPr>
                <w:rFonts w:hint="default" w:ascii="仿宋" w:hAnsi="仿宋" w:eastAsia="仿宋" w:cs="仿宋"/>
                <w:color w:val="000000"/>
                <w:kern w:val="0"/>
                <w:sz w:val="24"/>
                <w:szCs w:val="24"/>
                <w:lang w:val="en-US" w:eastAsia="zh-CN"/>
              </w:rPr>
            </w:pPr>
            <w:r>
              <w:rPr>
                <w:rFonts w:hint="eastAsia" w:ascii="仿宋" w:hAnsi="仿宋" w:eastAsia="仿宋" w:cs="仿宋"/>
                <w:color w:val="000000"/>
                <w:kern w:val="0"/>
                <w:sz w:val="24"/>
                <w:szCs w:val="24"/>
                <w:lang w:val="en-US" w:eastAsia="zh-CN"/>
              </w:rPr>
              <w:t>12</w:t>
            </w:r>
          </w:p>
        </w:tc>
      </w:tr>
      <w:tr w14:paraId="55B2DDD9">
        <w:tblPrEx>
          <w:tblCellMar>
            <w:top w:w="0" w:type="dxa"/>
            <w:left w:w="108" w:type="dxa"/>
            <w:bottom w:w="0" w:type="dxa"/>
            <w:right w:w="108" w:type="dxa"/>
          </w:tblCellMar>
        </w:tblPrEx>
        <w:trPr>
          <w:trHeight w:val="304" w:hRule="atLeast"/>
        </w:trPr>
        <w:tc>
          <w:tcPr>
            <w:tcW w:w="2670" w:type="dxa"/>
            <w:tcBorders>
              <w:top w:val="nil"/>
              <w:left w:val="single" w:color="auto" w:sz="4" w:space="0"/>
              <w:bottom w:val="nil"/>
              <w:right w:val="single" w:color="auto" w:sz="4" w:space="0"/>
            </w:tcBorders>
            <w:shd w:val="clear" w:color="auto" w:fill="auto"/>
            <w:noWrap/>
            <w:vAlign w:val="center"/>
          </w:tcPr>
          <w:p w14:paraId="1F4A7F4E">
            <w:pPr>
              <w:widowControl/>
              <w:spacing w:line="360" w:lineRule="auto"/>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电脑桌</w:t>
            </w:r>
          </w:p>
        </w:tc>
        <w:tc>
          <w:tcPr>
            <w:tcW w:w="1690" w:type="dxa"/>
            <w:tcBorders>
              <w:top w:val="nil"/>
              <w:left w:val="single" w:color="auto" w:sz="4" w:space="0"/>
              <w:bottom w:val="nil"/>
              <w:right w:val="single" w:color="auto" w:sz="4" w:space="0"/>
            </w:tcBorders>
            <w:shd w:val="clear" w:color="auto" w:fill="auto"/>
            <w:noWrap/>
            <w:vAlign w:val="center"/>
          </w:tcPr>
          <w:p w14:paraId="70E7A6B7">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张</w:t>
            </w:r>
          </w:p>
        </w:tc>
        <w:tc>
          <w:tcPr>
            <w:tcW w:w="3100" w:type="dxa"/>
            <w:tcBorders>
              <w:top w:val="nil"/>
              <w:left w:val="single" w:color="auto" w:sz="4" w:space="0"/>
              <w:bottom w:val="nil"/>
              <w:right w:val="single" w:color="auto" w:sz="4" w:space="0"/>
            </w:tcBorders>
            <w:shd w:val="clear" w:color="auto" w:fill="auto"/>
            <w:noWrap/>
            <w:vAlign w:val="center"/>
          </w:tcPr>
          <w:p w14:paraId="75B8B917">
            <w:pPr>
              <w:widowControl/>
              <w:spacing w:line="360" w:lineRule="auto"/>
              <w:jc w:val="center"/>
              <w:rPr>
                <w:rFonts w:hint="default" w:ascii="仿宋" w:hAnsi="仿宋" w:eastAsia="仿宋" w:cs="仿宋"/>
                <w:color w:val="000000"/>
                <w:kern w:val="0"/>
                <w:sz w:val="24"/>
                <w:szCs w:val="24"/>
                <w:lang w:val="en-US" w:eastAsia="zh-CN"/>
              </w:rPr>
            </w:pPr>
            <w:r>
              <w:rPr>
                <w:rFonts w:hint="eastAsia" w:ascii="仿宋" w:hAnsi="仿宋" w:eastAsia="仿宋" w:cs="仿宋"/>
                <w:color w:val="000000"/>
                <w:kern w:val="0"/>
                <w:sz w:val="24"/>
                <w:szCs w:val="24"/>
                <w:lang w:val="en-US" w:eastAsia="zh-CN"/>
              </w:rPr>
              <w:t>12</w:t>
            </w:r>
          </w:p>
        </w:tc>
      </w:tr>
      <w:tr w14:paraId="1DFC9C05">
        <w:tblPrEx>
          <w:tblCellMar>
            <w:top w:w="0" w:type="dxa"/>
            <w:left w:w="108" w:type="dxa"/>
            <w:bottom w:w="0" w:type="dxa"/>
            <w:right w:w="108" w:type="dxa"/>
          </w:tblCellMar>
        </w:tblPrEx>
        <w:trPr>
          <w:trHeight w:val="204" w:hRule="atLeast"/>
        </w:trPr>
        <w:tc>
          <w:tcPr>
            <w:tcW w:w="2670" w:type="dxa"/>
            <w:tcBorders>
              <w:top w:val="nil"/>
              <w:left w:val="single" w:color="auto" w:sz="4" w:space="0"/>
              <w:bottom w:val="nil"/>
              <w:right w:val="single" w:color="auto" w:sz="4" w:space="0"/>
            </w:tcBorders>
            <w:shd w:val="clear" w:color="auto" w:fill="auto"/>
            <w:noWrap/>
            <w:vAlign w:val="center"/>
          </w:tcPr>
          <w:p w14:paraId="0FC8BF1C">
            <w:pPr>
              <w:widowControl/>
              <w:spacing w:line="360" w:lineRule="auto"/>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打印机</w:t>
            </w:r>
          </w:p>
        </w:tc>
        <w:tc>
          <w:tcPr>
            <w:tcW w:w="1690" w:type="dxa"/>
            <w:tcBorders>
              <w:top w:val="nil"/>
              <w:left w:val="single" w:color="auto" w:sz="4" w:space="0"/>
              <w:bottom w:val="nil"/>
              <w:right w:val="single" w:color="auto" w:sz="4" w:space="0"/>
            </w:tcBorders>
            <w:shd w:val="clear" w:color="auto" w:fill="auto"/>
            <w:noWrap/>
            <w:vAlign w:val="center"/>
          </w:tcPr>
          <w:p w14:paraId="7284585A">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台</w:t>
            </w:r>
          </w:p>
        </w:tc>
        <w:tc>
          <w:tcPr>
            <w:tcW w:w="3100" w:type="dxa"/>
            <w:tcBorders>
              <w:top w:val="nil"/>
              <w:left w:val="single" w:color="auto" w:sz="4" w:space="0"/>
              <w:bottom w:val="nil"/>
              <w:right w:val="single" w:color="auto" w:sz="4" w:space="0"/>
            </w:tcBorders>
            <w:shd w:val="clear" w:color="auto" w:fill="auto"/>
            <w:noWrap/>
            <w:vAlign w:val="center"/>
          </w:tcPr>
          <w:p w14:paraId="693F1081">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1</w:t>
            </w:r>
          </w:p>
        </w:tc>
      </w:tr>
      <w:tr w14:paraId="71D3E7E8">
        <w:tblPrEx>
          <w:tblCellMar>
            <w:top w:w="0" w:type="dxa"/>
            <w:left w:w="108" w:type="dxa"/>
            <w:bottom w:w="0" w:type="dxa"/>
            <w:right w:w="108" w:type="dxa"/>
          </w:tblCellMar>
        </w:tblPrEx>
        <w:trPr>
          <w:trHeight w:val="90" w:hRule="atLeast"/>
        </w:trPr>
        <w:tc>
          <w:tcPr>
            <w:tcW w:w="2670" w:type="dxa"/>
            <w:tcBorders>
              <w:top w:val="nil"/>
              <w:left w:val="single" w:color="auto" w:sz="4" w:space="0"/>
              <w:bottom w:val="nil"/>
              <w:right w:val="single" w:color="auto" w:sz="4" w:space="0"/>
            </w:tcBorders>
            <w:shd w:val="clear" w:color="auto" w:fill="auto"/>
            <w:noWrap/>
            <w:vAlign w:val="center"/>
          </w:tcPr>
          <w:p w14:paraId="1CEF9A2B">
            <w:pPr>
              <w:widowControl/>
              <w:spacing w:line="360" w:lineRule="auto"/>
              <w:jc w:val="center"/>
              <w:rPr>
                <w:rFonts w:hint="eastAsia" w:ascii="仿宋" w:hAnsi="仿宋" w:eastAsia="仿宋" w:cs="仿宋"/>
                <w:b/>
                <w:bCs/>
                <w:color w:val="000000"/>
                <w:kern w:val="0"/>
                <w:sz w:val="24"/>
                <w:szCs w:val="24"/>
                <w:lang w:eastAsia="zh-CN"/>
              </w:rPr>
            </w:pPr>
            <w:r>
              <w:rPr>
                <w:rFonts w:hint="eastAsia" w:ascii="仿宋" w:hAnsi="仿宋" w:eastAsia="仿宋" w:cs="仿宋"/>
                <w:b/>
                <w:bCs/>
                <w:color w:val="000000"/>
                <w:kern w:val="0"/>
                <w:sz w:val="24"/>
                <w:szCs w:val="24"/>
                <w:lang w:val="en-US" w:eastAsia="zh-CN"/>
              </w:rPr>
              <w:t>12</w:t>
            </w:r>
            <w:r>
              <w:rPr>
                <w:rFonts w:hint="eastAsia" w:ascii="仿宋" w:hAnsi="仿宋" w:eastAsia="仿宋" w:cs="仿宋"/>
                <w:b/>
                <w:bCs/>
                <w:color w:val="000000"/>
                <w:kern w:val="0"/>
                <w:sz w:val="24"/>
                <w:szCs w:val="24"/>
              </w:rPr>
              <w:t>0寸</w:t>
            </w:r>
            <w:r>
              <w:rPr>
                <w:rFonts w:hint="eastAsia" w:ascii="仿宋" w:hAnsi="仿宋" w:eastAsia="仿宋" w:cs="仿宋"/>
                <w:b/>
                <w:bCs/>
                <w:color w:val="000000"/>
                <w:kern w:val="0"/>
                <w:sz w:val="24"/>
                <w:szCs w:val="24"/>
                <w:lang w:val="en-US" w:eastAsia="zh-CN"/>
              </w:rPr>
              <w:t>显示屏</w:t>
            </w:r>
          </w:p>
        </w:tc>
        <w:tc>
          <w:tcPr>
            <w:tcW w:w="1690" w:type="dxa"/>
            <w:tcBorders>
              <w:top w:val="nil"/>
              <w:left w:val="single" w:color="auto" w:sz="4" w:space="0"/>
              <w:bottom w:val="nil"/>
              <w:right w:val="single" w:color="auto" w:sz="4" w:space="0"/>
            </w:tcBorders>
            <w:shd w:val="clear" w:color="auto" w:fill="auto"/>
            <w:noWrap/>
            <w:vAlign w:val="center"/>
          </w:tcPr>
          <w:p w14:paraId="7D80EB80">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台</w:t>
            </w:r>
          </w:p>
        </w:tc>
        <w:tc>
          <w:tcPr>
            <w:tcW w:w="3100" w:type="dxa"/>
            <w:tcBorders>
              <w:top w:val="nil"/>
              <w:left w:val="single" w:color="auto" w:sz="4" w:space="0"/>
              <w:bottom w:val="nil"/>
              <w:right w:val="single" w:color="auto" w:sz="4" w:space="0"/>
            </w:tcBorders>
            <w:shd w:val="clear" w:color="auto" w:fill="auto"/>
            <w:noWrap/>
            <w:vAlign w:val="center"/>
          </w:tcPr>
          <w:p w14:paraId="2F8A1610">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1</w:t>
            </w:r>
          </w:p>
        </w:tc>
      </w:tr>
      <w:tr w14:paraId="0B1DD555">
        <w:tblPrEx>
          <w:tblCellMar>
            <w:top w:w="0" w:type="dxa"/>
            <w:left w:w="108" w:type="dxa"/>
            <w:bottom w:w="0" w:type="dxa"/>
            <w:right w:w="108" w:type="dxa"/>
          </w:tblCellMar>
        </w:tblPrEx>
        <w:trPr>
          <w:trHeight w:val="90" w:hRule="atLeast"/>
        </w:trPr>
        <w:tc>
          <w:tcPr>
            <w:tcW w:w="2670" w:type="dxa"/>
            <w:tcBorders>
              <w:top w:val="nil"/>
              <w:left w:val="single" w:color="auto" w:sz="4" w:space="0"/>
              <w:bottom w:val="single" w:color="auto" w:sz="4" w:space="0"/>
              <w:right w:val="single" w:color="auto" w:sz="4" w:space="0"/>
            </w:tcBorders>
            <w:shd w:val="clear" w:color="auto" w:fill="auto"/>
            <w:noWrap/>
            <w:vAlign w:val="center"/>
          </w:tcPr>
          <w:p w14:paraId="77DE2629">
            <w:pPr>
              <w:widowControl/>
              <w:spacing w:line="360" w:lineRule="auto"/>
              <w:jc w:val="center"/>
              <w:rPr>
                <w:rFonts w:hint="default" w:ascii="仿宋" w:hAnsi="仿宋" w:eastAsia="仿宋" w:cs="仿宋"/>
                <w:b/>
                <w:bCs/>
                <w:color w:val="000000"/>
                <w:kern w:val="0"/>
                <w:sz w:val="24"/>
                <w:szCs w:val="24"/>
                <w:lang w:val="en-US" w:eastAsia="zh-CN"/>
              </w:rPr>
            </w:pPr>
            <w:r>
              <w:rPr>
                <w:rFonts w:hint="eastAsia" w:ascii="仿宋" w:hAnsi="仿宋" w:eastAsia="仿宋" w:cs="仿宋"/>
                <w:b/>
                <w:bCs/>
                <w:color w:val="000000"/>
                <w:kern w:val="0"/>
                <w:sz w:val="24"/>
                <w:szCs w:val="24"/>
                <w:lang w:val="en-US" w:eastAsia="zh-CN"/>
              </w:rPr>
              <w:t>会议桌</w:t>
            </w:r>
          </w:p>
        </w:tc>
        <w:tc>
          <w:tcPr>
            <w:tcW w:w="1690" w:type="dxa"/>
            <w:tcBorders>
              <w:top w:val="nil"/>
              <w:left w:val="single" w:color="auto" w:sz="4" w:space="0"/>
              <w:bottom w:val="single" w:color="auto" w:sz="4" w:space="0"/>
              <w:right w:val="single" w:color="auto" w:sz="4" w:space="0"/>
            </w:tcBorders>
            <w:shd w:val="clear" w:color="auto" w:fill="auto"/>
            <w:noWrap/>
            <w:vAlign w:val="center"/>
          </w:tcPr>
          <w:p w14:paraId="74D71455">
            <w:pPr>
              <w:widowControl/>
              <w:spacing w:line="360" w:lineRule="auto"/>
              <w:jc w:val="center"/>
              <w:rPr>
                <w:rFonts w:hint="default" w:ascii="仿宋" w:hAnsi="仿宋" w:eastAsia="仿宋" w:cs="仿宋"/>
                <w:color w:val="000000"/>
                <w:kern w:val="0"/>
                <w:sz w:val="24"/>
                <w:szCs w:val="24"/>
                <w:lang w:val="en-US" w:eastAsia="zh-CN"/>
              </w:rPr>
            </w:pPr>
            <w:r>
              <w:rPr>
                <w:rFonts w:hint="eastAsia" w:ascii="仿宋" w:hAnsi="仿宋" w:eastAsia="仿宋" w:cs="仿宋"/>
                <w:color w:val="000000"/>
                <w:kern w:val="0"/>
                <w:sz w:val="24"/>
                <w:szCs w:val="24"/>
                <w:lang w:val="en-US" w:eastAsia="zh-CN"/>
              </w:rPr>
              <w:t>张</w:t>
            </w:r>
          </w:p>
        </w:tc>
        <w:tc>
          <w:tcPr>
            <w:tcW w:w="3100" w:type="dxa"/>
            <w:tcBorders>
              <w:top w:val="nil"/>
              <w:left w:val="single" w:color="auto" w:sz="4" w:space="0"/>
              <w:bottom w:val="single" w:color="auto" w:sz="4" w:space="0"/>
              <w:right w:val="single" w:color="auto" w:sz="4" w:space="0"/>
            </w:tcBorders>
            <w:shd w:val="clear" w:color="auto" w:fill="auto"/>
            <w:noWrap/>
            <w:vAlign w:val="center"/>
          </w:tcPr>
          <w:p w14:paraId="42836AFA">
            <w:pPr>
              <w:widowControl/>
              <w:spacing w:line="360" w:lineRule="auto"/>
              <w:jc w:val="center"/>
              <w:rPr>
                <w:rFonts w:hint="eastAsia" w:ascii="仿宋" w:hAnsi="仿宋" w:eastAsia="仿宋" w:cs="仿宋"/>
                <w:color w:val="000000"/>
                <w:kern w:val="0"/>
                <w:sz w:val="24"/>
                <w:szCs w:val="24"/>
                <w:lang w:val="en-US" w:eastAsia="zh-CN"/>
              </w:rPr>
            </w:pPr>
            <w:r>
              <w:rPr>
                <w:rFonts w:hint="eastAsia" w:ascii="仿宋" w:hAnsi="仿宋" w:eastAsia="仿宋" w:cs="仿宋"/>
                <w:color w:val="000000"/>
                <w:kern w:val="0"/>
                <w:sz w:val="24"/>
                <w:szCs w:val="24"/>
                <w:lang w:val="en-US" w:eastAsia="zh-CN"/>
              </w:rPr>
              <w:t>4</w:t>
            </w:r>
          </w:p>
        </w:tc>
      </w:tr>
    </w:tbl>
    <w:p w14:paraId="448203CD">
      <w:pPr>
        <w:spacing w:line="360" w:lineRule="auto"/>
        <w:rPr>
          <w:rFonts w:ascii="仿宋_GB2312" w:hAnsi="仿宋_GB2312" w:eastAsia="仿宋_GB2312" w:cs="仿宋_GB2312"/>
          <w:color w:val="FF0000"/>
          <w:sz w:val="24"/>
          <w:szCs w:val="24"/>
          <w:shd w:val="clear" w:color="auto" w:fill="FFFFFF"/>
        </w:rPr>
      </w:pPr>
    </w:p>
    <w:p w14:paraId="145285CA">
      <w:pPr>
        <w:spacing w:before="156" w:beforeLines="50" w:after="156" w:afterLines="50" w:line="360" w:lineRule="auto"/>
        <w:ind w:firstLine="562" w:firstLineChars="200"/>
        <w:rPr>
          <w:rFonts w:hint="eastAsia" w:ascii="黑体" w:hAnsi="黑体" w:eastAsia="黑体" w:cs="黑体"/>
          <w:b/>
          <w:color w:val="FF0000"/>
          <w:sz w:val="28"/>
          <w:szCs w:val="28"/>
        </w:rPr>
      </w:pPr>
    </w:p>
    <w:p w14:paraId="0D067225">
      <w:pPr>
        <w:spacing w:before="156" w:beforeLines="50" w:after="156" w:afterLines="50" w:line="360" w:lineRule="auto"/>
        <w:ind w:firstLine="562" w:firstLineChars="200"/>
        <w:rPr>
          <w:rFonts w:hint="eastAsia" w:ascii="黑体" w:hAnsi="黑体" w:eastAsia="黑体" w:cs="黑体"/>
          <w:b/>
          <w:color w:val="FF0000"/>
          <w:sz w:val="28"/>
          <w:szCs w:val="28"/>
        </w:rPr>
      </w:pPr>
    </w:p>
    <w:p w14:paraId="546EBF57">
      <w:pPr>
        <w:spacing w:before="156" w:beforeLines="50" w:after="156" w:afterLines="50" w:line="360" w:lineRule="auto"/>
        <w:ind w:firstLine="562" w:firstLineChars="200"/>
        <w:rPr>
          <w:rFonts w:hint="eastAsia" w:ascii="黑体" w:hAnsi="黑体" w:eastAsia="黑体" w:cs="黑体"/>
          <w:b/>
          <w:color w:val="FF0000"/>
          <w:sz w:val="28"/>
          <w:szCs w:val="28"/>
        </w:rPr>
      </w:pPr>
    </w:p>
    <w:p w14:paraId="2E63418E">
      <w:pPr>
        <w:spacing w:before="156" w:beforeLines="50" w:after="156" w:afterLines="50" w:line="360" w:lineRule="auto"/>
        <w:ind w:firstLine="562" w:firstLineChars="200"/>
        <w:rPr>
          <w:rFonts w:hint="eastAsia" w:ascii="黑体" w:hAnsi="黑体" w:eastAsia="黑体" w:cs="黑体"/>
          <w:b/>
          <w:color w:val="FF0000"/>
          <w:sz w:val="28"/>
          <w:szCs w:val="28"/>
        </w:rPr>
      </w:pPr>
    </w:p>
    <w:p w14:paraId="7330BB93">
      <w:pPr>
        <w:spacing w:before="156" w:beforeLines="50" w:after="156" w:afterLines="50" w:line="360" w:lineRule="auto"/>
        <w:ind w:firstLine="562" w:firstLineChars="200"/>
        <w:rPr>
          <w:rFonts w:hint="eastAsia" w:ascii="黑体" w:hAnsi="黑体" w:eastAsia="黑体" w:cs="黑体"/>
          <w:b/>
          <w:color w:val="FF0000"/>
          <w:sz w:val="28"/>
          <w:szCs w:val="28"/>
        </w:rPr>
      </w:pPr>
    </w:p>
    <w:p w14:paraId="279812F2">
      <w:pPr>
        <w:pStyle w:val="6"/>
        <w:keepNext w:val="0"/>
        <w:keepLines w:val="0"/>
        <w:widowControl/>
        <w:suppressLineNumbers w:val="0"/>
        <w:jc w:val="center"/>
      </w:pPr>
      <w:r>
        <w:drawing>
          <wp:inline distT="0" distB="0" distL="114300" distR="114300">
            <wp:extent cx="2625090" cy="1619250"/>
            <wp:effectExtent l="0" t="0" r="0" b="0"/>
            <wp:docPr id="14"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descr="IMG_256"/>
                    <pic:cNvPicPr>
                      <a:picLocks noChangeAspect="1"/>
                    </pic:cNvPicPr>
                  </pic:nvPicPr>
                  <pic:blipFill>
                    <a:blip r:embed="rId6"/>
                    <a:srcRect t="17742"/>
                    <a:stretch>
                      <a:fillRect/>
                    </a:stretch>
                  </pic:blipFill>
                  <pic:spPr>
                    <a:xfrm>
                      <a:off x="0" y="0"/>
                      <a:ext cx="2625090" cy="1619250"/>
                    </a:xfrm>
                    <a:prstGeom prst="rect">
                      <a:avLst/>
                    </a:prstGeom>
                    <a:noFill/>
                    <a:ln w="9525">
                      <a:noFill/>
                    </a:ln>
                  </pic:spPr>
                </pic:pic>
              </a:graphicData>
            </a:graphic>
          </wp:inline>
        </w:drawing>
      </w:r>
      <w:r>
        <w:rPr>
          <w:rFonts w:hint="eastAsia"/>
          <w:lang w:val="en-US" w:eastAsia="zh-CN"/>
        </w:rPr>
        <w:t xml:space="preserve">    </w:t>
      </w:r>
      <w:r>
        <w:drawing>
          <wp:inline distT="0" distB="0" distL="114300" distR="114300">
            <wp:extent cx="2230120" cy="1565275"/>
            <wp:effectExtent l="0" t="0" r="10160" b="4445"/>
            <wp:docPr id="15" name="图片 2" descr="H:/2024-曹总 率果  公司 学生实训/微信图片_20250218165448.jpg微信图片_20250218165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descr="H:/2024-曹总 率果  公司 学生实训/微信图片_20250218165448.jpg微信图片_20250218165448"/>
                    <pic:cNvPicPr>
                      <a:picLocks noChangeAspect="1"/>
                    </pic:cNvPicPr>
                  </pic:nvPicPr>
                  <pic:blipFill>
                    <a:blip r:embed="rId7"/>
                    <a:srcRect l="12602" t="12986" b="5541"/>
                    <a:stretch>
                      <a:fillRect/>
                    </a:stretch>
                  </pic:blipFill>
                  <pic:spPr>
                    <a:xfrm>
                      <a:off x="0" y="0"/>
                      <a:ext cx="2230120" cy="1565275"/>
                    </a:xfrm>
                    <a:prstGeom prst="rect">
                      <a:avLst/>
                    </a:prstGeom>
                    <a:noFill/>
                    <a:ln w="9525">
                      <a:noFill/>
                    </a:ln>
                  </pic:spPr>
                </pic:pic>
              </a:graphicData>
            </a:graphic>
          </wp:inline>
        </w:drawing>
      </w:r>
    </w:p>
    <w:p w14:paraId="2F5F11FC">
      <w:pPr>
        <w:spacing w:before="156" w:beforeLines="50" w:after="156" w:afterLines="50" w:line="360" w:lineRule="auto"/>
        <w:ind w:firstLine="562" w:firstLineChars="200"/>
        <w:rPr>
          <w:rFonts w:ascii="黑体" w:hAnsi="黑体" w:eastAsia="黑体" w:cs="黑体"/>
          <w:b/>
          <w:color w:val="auto"/>
          <w:sz w:val="28"/>
          <w:szCs w:val="28"/>
        </w:rPr>
      </w:pPr>
      <w:r>
        <w:rPr>
          <w:rFonts w:hint="eastAsia" w:ascii="黑体" w:hAnsi="黑体" w:eastAsia="黑体" w:cs="黑体"/>
          <w:b/>
          <w:color w:val="auto"/>
          <w:sz w:val="28"/>
          <w:szCs w:val="28"/>
        </w:rPr>
        <w:t>三、专项支持</w:t>
      </w:r>
    </w:p>
    <w:p w14:paraId="09A66056">
      <w:pPr>
        <w:spacing w:line="360" w:lineRule="auto"/>
        <w:ind w:firstLine="480" w:firstLineChars="200"/>
        <w:rPr>
          <w:rFonts w:hint="default" w:ascii="仿宋_GB2312" w:hAnsi="仿宋_GB2312" w:eastAsia="仿宋_GB2312" w:cs="仿宋_GB2312"/>
          <w:color w:val="auto"/>
          <w:sz w:val="24"/>
          <w:szCs w:val="24"/>
          <w:shd w:val="clear" w:color="auto" w:fill="FFFFFF"/>
          <w:lang w:val="en-US" w:eastAsia="zh-CN"/>
        </w:rPr>
      </w:pPr>
      <w:r>
        <w:rPr>
          <w:rFonts w:hint="eastAsia" w:ascii="仿宋_GB2312" w:hAnsi="仿宋_GB2312" w:eastAsia="仿宋_GB2312" w:cs="仿宋_GB2312"/>
          <w:color w:val="auto"/>
          <w:sz w:val="24"/>
          <w:szCs w:val="24"/>
          <w:shd w:val="clear" w:color="auto" w:fill="FFFFFF"/>
          <w:lang w:val="en-US" w:eastAsia="zh-CN"/>
        </w:rPr>
        <w:t>公司除实训基地建设和专业师资投入外，还给予</w:t>
      </w:r>
      <w:r>
        <w:rPr>
          <w:rFonts w:hint="eastAsia" w:ascii="仿宋_GB2312" w:hAnsi="仿宋_GB2312" w:eastAsia="仿宋_GB2312" w:cs="仿宋_GB2312"/>
          <w:color w:val="auto"/>
          <w:kern w:val="2"/>
          <w:sz w:val="24"/>
          <w:szCs w:val="24"/>
          <w:shd w:val="clear" w:color="auto" w:fill="FFFFFF"/>
          <w:lang w:val="en-US" w:eastAsia="zh-CN" w:bidi="ar-SA"/>
        </w:rPr>
        <w:t>“云班级提优班”线上线下项目教学</w:t>
      </w:r>
      <w:r>
        <w:rPr>
          <w:rFonts w:hint="eastAsia" w:ascii="仿宋_GB2312" w:hAnsi="仿宋_GB2312" w:eastAsia="仿宋_GB2312" w:cs="仿宋_GB2312"/>
          <w:color w:val="auto"/>
          <w:sz w:val="24"/>
          <w:szCs w:val="24"/>
          <w:shd w:val="clear" w:color="auto" w:fill="FFFFFF"/>
          <w:lang w:val="en-US" w:eastAsia="zh-CN"/>
        </w:rPr>
        <w:t>和职业技能竞赛等专项支持。</w:t>
      </w:r>
    </w:p>
    <w:p w14:paraId="34CE3531">
      <w:pPr>
        <w:keepNext w:val="0"/>
        <w:keepLines w:val="0"/>
        <w:pageBreakBefore w:val="0"/>
        <w:widowControl w:val="0"/>
        <w:numPr>
          <w:numId w:val="0"/>
        </w:numPr>
        <w:kinsoku/>
        <w:wordWrap/>
        <w:overflowPunct/>
        <w:topLinePunct w:val="0"/>
        <w:autoSpaceDE/>
        <w:autoSpaceDN/>
        <w:bidi w:val="0"/>
        <w:adjustRightInd/>
        <w:snapToGrid/>
        <w:spacing w:line="360" w:lineRule="auto"/>
        <w:ind w:firstLine="480" w:firstLineChars="200"/>
        <w:textAlignment w:val="auto"/>
        <w:rPr>
          <w:rFonts w:hint="eastAsia" w:ascii="仿宋_GB2312" w:hAnsi="仿宋_GB2312" w:eastAsia="仿宋_GB2312" w:cs="仿宋_GB2312"/>
          <w:color w:val="auto"/>
          <w:sz w:val="24"/>
          <w:szCs w:val="24"/>
          <w:shd w:val="clear" w:color="auto" w:fill="FFFFFF"/>
        </w:rPr>
      </w:pPr>
      <w:r>
        <w:rPr>
          <w:rFonts w:hint="eastAsia" w:ascii="仿宋_GB2312" w:hAnsi="仿宋_GB2312" w:eastAsia="仿宋_GB2312" w:cs="仿宋_GB2312"/>
          <w:color w:val="auto"/>
          <w:sz w:val="24"/>
          <w:szCs w:val="24"/>
          <w:shd w:val="clear" w:color="auto" w:fill="FFFFFF"/>
          <w:lang w:val="en-US" w:eastAsia="zh-CN"/>
        </w:rPr>
        <w:t>1.</w:t>
      </w:r>
      <w:r>
        <w:rPr>
          <w:rFonts w:hint="eastAsia" w:ascii="仿宋_GB2312" w:hAnsi="仿宋_GB2312" w:eastAsia="仿宋_GB2312" w:cs="仿宋_GB2312"/>
          <w:color w:val="auto"/>
          <w:sz w:val="24"/>
          <w:szCs w:val="24"/>
          <w:shd w:val="clear" w:color="auto" w:fill="FFFFFF"/>
        </w:rPr>
        <w:t>校企协同分层培养，助力学生个性化成长</w:t>
      </w:r>
      <w:r>
        <w:rPr>
          <w:rFonts w:hint="eastAsia" w:ascii="仿宋_GB2312" w:hAnsi="仿宋_GB2312" w:eastAsia="仿宋_GB2312" w:cs="仿宋_GB2312"/>
          <w:color w:val="auto"/>
          <w:sz w:val="24"/>
          <w:szCs w:val="24"/>
          <w:shd w:val="clear" w:color="auto" w:fill="FFFFFF"/>
          <w:lang w:eastAsia="zh-CN"/>
        </w:rPr>
        <w:t>。</w:t>
      </w:r>
    </w:p>
    <w:p w14:paraId="4915A0AC">
      <w:pPr>
        <w:spacing w:line="360" w:lineRule="auto"/>
        <w:ind w:firstLine="480" w:firstLineChars="200"/>
        <w:rPr>
          <w:rFonts w:hint="default" w:ascii="仿宋_GB2312" w:hAnsi="仿宋_GB2312" w:eastAsia="仿宋_GB2312" w:cs="仿宋_GB2312"/>
          <w:color w:val="FF0000"/>
          <w:sz w:val="24"/>
          <w:szCs w:val="24"/>
          <w:shd w:val="clear" w:color="auto" w:fill="FFFFFF"/>
          <w:lang w:val="en-US" w:eastAsia="zh-CN"/>
        </w:rPr>
      </w:pPr>
      <w:r>
        <w:rPr>
          <w:rFonts w:hint="default" w:ascii="仿宋_GB2312" w:hAnsi="仿宋_GB2312" w:eastAsia="仿宋_GB2312" w:cs="仿宋_GB2312"/>
          <w:color w:val="auto"/>
          <w:sz w:val="24"/>
          <w:szCs w:val="24"/>
          <w:shd w:val="clear" w:color="auto" w:fill="FFFFFF"/>
          <w:lang w:val="en-US" w:eastAsia="zh-CN"/>
        </w:rPr>
        <w:t>学</w:t>
      </w:r>
      <w:r>
        <w:rPr>
          <w:rFonts w:hint="eastAsia" w:ascii="仿宋_GB2312" w:hAnsi="仿宋_GB2312" w:eastAsia="仿宋_GB2312" w:cs="仿宋_GB2312"/>
          <w:color w:val="auto"/>
          <w:sz w:val="24"/>
          <w:szCs w:val="24"/>
          <w:shd w:val="clear" w:color="auto" w:fill="FFFFFF"/>
          <w:lang w:val="en-US" w:eastAsia="zh-CN"/>
        </w:rPr>
        <w:t>院</w:t>
      </w:r>
      <w:r>
        <w:rPr>
          <w:rFonts w:hint="default" w:ascii="仿宋_GB2312" w:hAnsi="仿宋_GB2312" w:eastAsia="仿宋_GB2312" w:cs="仿宋_GB2312"/>
          <w:color w:val="auto"/>
          <w:sz w:val="24"/>
          <w:szCs w:val="24"/>
          <w:shd w:val="clear" w:color="auto" w:fill="FFFFFF"/>
          <w:lang w:val="en-US" w:eastAsia="zh-CN"/>
        </w:rPr>
        <w:t>与企业共同分析岗位需求，将学生</w:t>
      </w:r>
      <w:r>
        <w:rPr>
          <w:rFonts w:hint="eastAsia" w:ascii="仿宋_GB2312" w:hAnsi="仿宋_GB2312" w:eastAsia="仿宋_GB2312" w:cs="仿宋_GB2312"/>
          <w:color w:val="auto"/>
          <w:sz w:val="24"/>
          <w:szCs w:val="24"/>
          <w:shd w:val="clear" w:color="auto" w:fill="FFFFFF"/>
          <w:lang w:val="en-US" w:eastAsia="zh-CN"/>
        </w:rPr>
        <w:t>的学习需求进行分层，将学有余力的同学组建“</w:t>
      </w:r>
      <w:r>
        <w:rPr>
          <w:rFonts w:hint="eastAsia" w:ascii="仿宋_GB2312" w:hAnsi="仿宋_GB2312" w:eastAsia="仿宋_GB2312" w:cs="仿宋_GB2312"/>
          <w:color w:val="auto"/>
          <w:kern w:val="2"/>
          <w:sz w:val="24"/>
          <w:szCs w:val="24"/>
          <w:shd w:val="clear" w:color="auto" w:fill="FFFFFF"/>
          <w:lang w:val="en-US" w:eastAsia="zh-CN" w:bidi="ar-SA"/>
        </w:rPr>
        <w:t>提优班”，采取云班级模式，</w:t>
      </w:r>
      <w:r>
        <w:rPr>
          <w:rFonts w:hint="default" w:ascii="仿宋_GB2312" w:hAnsi="仿宋_GB2312" w:eastAsia="仿宋_GB2312" w:cs="仿宋_GB2312"/>
          <w:color w:val="auto"/>
          <w:sz w:val="24"/>
          <w:szCs w:val="24"/>
          <w:shd w:val="clear" w:color="auto" w:fill="FFFFFF"/>
          <w:lang w:val="en-US" w:eastAsia="zh-CN"/>
        </w:rPr>
        <w:t>企业</w:t>
      </w:r>
      <w:r>
        <w:rPr>
          <w:rFonts w:hint="eastAsia" w:ascii="仿宋_GB2312" w:hAnsi="仿宋_GB2312" w:eastAsia="仿宋_GB2312" w:cs="仿宋_GB2312"/>
          <w:color w:val="auto"/>
          <w:sz w:val="24"/>
          <w:szCs w:val="24"/>
          <w:shd w:val="clear" w:color="auto" w:fill="FFFFFF"/>
          <w:lang w:val="en-US" w:eastAsia="zh-CN"/>
        </w:rPr>
        <w:t>提供</w:t>
      </w:r>
      <w:r>
        <w:rPr>
          <w:rFonts w:hint="default" w:ascii="仿宋_GB2312" w:hAnsi="仿宋_GB2312" w:eastAsia="仿宋_GB2312" w:cs="仿宋_GB2312"/>
          <w:color w:val="auto"/>
          <w:sz w:val="24"/>
          <w:szCs w:val="24"/>
          <w:shd w:val="clear" w:color="auto" w:fill="FFFFFF"/>
          <w:lang w:val="en-US" w:eastAsia="zh-CN"/>
        </w:rPr>
        <w:t>真实项目</w:t>
      </w:r>
      <w:r>
        <w:rPr>
          <w:rFonts w:hint="eastAsia" w:ascii="仿宋_GB2312" w:hAnsi="仿宋_GB2312" w:eastAsia="仿宋_GB2312" w:cs="仿宋_GB2312"/>
          <w:color w:val="auto"/>
          <w:sz w:val="24"/>
          <w:szCs w:val="24"/>
          <w:shd w:val="clear" w:color="auto" w:fill="FFFFFF"/>
          <w:lang w:val="en-US" w:eastAsia="zh-CN"/>
        </w:rPr>
        <w:t>，</w:t>
      </w:r>
      <w:r>
        <w:rPr>
          <w:rFonts w:hint="default" w:ascii="仿宋_GB2312" w:hAnsi="仿宋_GB2312" w:eastAsia="仿宋_GB2312" w:cs="仿宋_GB2312"/>
          <w:color w:val="auto"/>
          <w:sz w:val="24"/>
          <w:szCs w:val="24"/>
          <w:shd w:val="clear" w:color="auto" w:fill="FFFFFF"/>
          <w:lang w:val="en-US" w:eastAsia="zh-CN"/>
        </w:rPr>
        <w:t>侧重综合能力培养，提升创新能力</w:t>
      </w:r>
      <w:r>
        <w:rPr>
          <w:rFonts w:hint="eastAsia" w:ascii="仿宋_GB2312" w:hAnsi="仿宋_GB2312" w:eastAsia="仿宋_GB2312" w:cs="仿宋_GB2312"/>
          <w:color w:val="auto"/>
          <w:sz w:val="24"/>
          <w:szCs w:val="24"/>
          <w:shd w:val="clear" w:color="auto" w:fill="FFFFFF"/>
          <w:lang w:val="en-US" w:eastAsia="zh-CN"/>
        </w:rPr>
        <w:t>，</w:t>
      </w:r>
      <w:r>
        <w:rPr>
          <w:rFonts w:hint="default" w:ascii="仿宋_GB2312" w:hAnsi="仿宋_GB2312" w:eastAsia="仿宋_GB2312" w:cs="仿宋_GB2312"/>
          <w:color w:val="auto"/>
          <w:sz w:val="24"/>
          <w:szCs w:val="24"/>
          <w:shd w:val="clear" w:color="auto" w:fill="FFFFFF"/>
          <w:lang w:val="en-US" w:eastAsia="zh-CN"/>
        </w:rPr>
        <w:t>强化实践技能</w:t>
      </w:r>
      <w:r>
        <w:rPr>
          <w:rFonts w:hint="eastAsia" w:ascii="仿宋_GB2312" w:hAnsi="仿宋_GB2312" w:eastAsia="仿宋_GB2312" w:cs="仿宋_GB2312"/>
          <w:color w:val="auto"/>
          <w:sz w:val="24"/>
          <w:szCs w:val="24"/>
          <w:shd w:val="clear" w:color="auto" w:fill="FFFFFF"/>
          <w:lang w:val="en-US" w:eastAsia="zh-CN"/>
        </w:rPr>
        <w:t>，</w:t>
      </w:r>
      <w:r>
        <w:rPr>
          <w:rFonts w:hint="default" w:ascii="仿宋_GB2312" w:hAnsi="仿宋_GB2312" w:eastAsia="仿宋_GB2312" w:cs="仿宋_GB2312"/>
          <w:color w:val="auto"/>
          <w:sz w:val="24"/>
          <w:szCs w:val="24"/>
          <w:shd w:val="clear" w:color="auto" w:fill="FFFFFF"/>
          <w:lang w:val="en-US" w:eastAsia="zh-CN"/>
        </w:rPr>
        <w:t>企业提供真实的工作场景和技术支持，帮助学生将理论知识与实践相结合。同时，企业导师与学校教师共同制定个性化学习计划，</w:t>
      </w:r>
      <w:r>
        <w:rPr>
          <w:rFonts w:hint="eastAsia" w:ascii="仿宋_GB2312" w:hAnsi="仿宋_GB2312" w:eastAsia="仿宋_GB2312" w:cs="仿宋_GB2312"/>
          <w:color w:val="auto"/>
          <w:sz w:val="24"/>
          <w:szCs w:val="24"/>
          <w:shd w:val="clear" w:color="auto" w:fill="FFFFFF"/>
          <w:lang w:val="en-US" w:eastAsia="zh-CN"/>
        </w:rPr>
        <w:t>超星平台开设项目实训课程，实时记录学习进程，</w:t>
      </w:r>
      <w:r>
        <w:rPr>
          <w:rFonts w:hint="default" w:ascii="仿宋_GB2312" w:hAnsi="仿宋_GB2312" w:eastAsia="仿宋_GB2312" w:cs="仿宋_GB2312"/>
          <w:color w:val="auto"/>
          <w:sz w:val="24"/>
          <w:szCs w:val="24"/>
          <w:shd w:val="clear" w:color="auto" w:fill="FFFFFF"/>
          <w:lang w:val="en-US" w:eastAsia="zh-CN"/>
        </w:rPr>
        <w:t>定期评估学生进展，动态调整教学内容，确保学生都能在适合的层次上得到充分发展</w:t>
      </w:r>
      <w:r>
        <w:rPr>
          <w:rFonts w:hint="eastAsia" w:ascii="仿宋_GB2312" w:hAnsi="仿宋_GB2312" w:eastAsia="仿宋_GB2312" w:cs="仿宋_GB2312"/>
          <w:color w:val="auto"/>
          <w:sz w:val="24"/>
          <w:szCs w:val="24"/>
          <w:shd w:val="clear" w:color="auto" w:fill="FFFFFF"/>
          <w:lang w:val="en-US" w:eastAsia="zh-CN"/>
        </w:rPr>
        <w:t>，</w:t>
      </w:r>
      <w:r>
        <w:rPr>
          <w:rFonts w:hint="default" w:ascii="仿宋_GB2312" w:hAnsi="仿宋_GB2312" w:eastAsia="仿宋_GB2312" w:cs="仿宋_GB2312"/>
          <w:color w:val="auto"/>
          <w:sz w:val="24"/>
          <w:szCs w:val="24"/>
          <w:shd w:val="clear" w:color="auto" w:fill="FFFFFF"/>
          <w:lang w:val="en-US" w:eastAsia="zh-CN"/>
        </w:rPr>
        <w:t>激发学生的学习兴趣，提升其职业竞争力，分层个性化教学模式不仅能够满足企业对高素质技术技能人才的需求，还能实现学校、企业和学生的多方共赢。</w:t>
      </w:r>
    </w:p>
    <w:p w14:paraId="19BDC9FD">
      <w:pPr>
        <w:pStyle w:val="6"/>
        <w:keepNext w:val="0"/>
        <w:keepLines w:val="0"/>
        <w:pageBreakBefore w:val="0"/>
        <w:widowControl/>
        <w:suppressLineNumbers w:val="0"/>
        <w:kinsoku/>
        <w:wordWrap/>
        <w:overflowPunct/>
        <w:topLinePunct w:val="0"/>
        <w:autoSpaceDE/>
        <w:autoSpaceDN/>
        <w:bidi w:val="0"/>
        <w:adjustRightInd/>
        <w:snapToGrid/>
        <w:spacing w:before="157" w:beforeLines="50" w:beforeAutospacing="0" w:after="157" w:afterLines="50" w:afterAutospacing="0"/>
        <w:jc w:val="center"/>
        <w:textAlignment w:val="auto"/>
      </w:pPr>
      <w:r>
        <w:drawing>
          <wp:inline distT="0" distB="0" distL="114300" distR="114300">
            <wp:extent cx="2533650" cy="1638935"/>
            <wp:effectExtent l="0" t="0" r="11430" b="6985"/>
            <wp:docPr id="18"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 descr="IMG_256"/>
                    <pic:cNvPicPr>
                      <a:picLocks noChangeAspect="1"/>
                    </pic:cNvPicPr>
                  </pic:nvPicPr>
                  <pic:blipFill>
                    <a:blip r:embed="rId8"/>
                    <a:srcRect r="13000"/>
                    <a:stretch>
                      <a:fillRect/>
                    </a:stretch>
                  </pic:blipFill>
                  <pic:spPr>
                    <a:xfrm>
                      <a:off x="0" y="0"/>
                      <a:ext cx="2533650" cy="1638935"/>
                    </a:xfrm>
                    <a:prstGeom prst="rect">
                      <a:avLst/>
                    </a:prstGeom>
                    <a:noFill/>
                    <a:ln w="9525">
                      <a:noFill/>
                    </a:ln>
                  </pic:spPr>
                </pic:pic>
              </a:graphicData>
            </a:graphic>
          </wp:inline>
        </w:drawing>
      </w:r>
      <w:r>
        <w:rPr>
          <w:rFonts w:hint="eastAsia"/>
          <w:lang w:val="en-US" w:eastAsia="zh-CN"/>
        </w:rPr>
        <w:t xml:space="preserve">   </w:t>
      </w:r>
      <w:r>
        <w:drawing>
          <wp:inline distT="0" distB="0" distL="114300" distR="114300">
            <wp:extent cx="2750820" cy="1637030"/>
            <wp:effectExtent l="0" t="0" r="7620" b="8890"/>
            <wp:docPr id="1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
                    <pic:cNvPicPr>
                      <a:picLocks noChangeAspect="1"/>
                    </pic:cNvPicPr>
                  </pic:nvPicPr>
                  <pic:blipFill>
                    <a:blip r:embed="rId9"/>
                    <a:stretch>
                      <a:fillRect/>
                    </a:stretch>
                  </pic:blipFill>
                  <pic:spPr>
                    <a:xfrm>
                      <a:off x="0" y="0"/>
                      <a:ext cx="2750820" cy="1637030"/>
                    </a:xfrm>
                    <a:prstGeom prst="rect">
                      <a:avLst/>
                    </a:prstGeom>
                    <a:noFill/>
                    <a:ln>
                      <a:noFill/>
                    </a:ln>
                  </pic:spPr>
                </pic:pic>
              </a:graphicData>
            </a:graphic>
          </wp:inline>
        </w:drawing>
      </w:r>
    </w:p>
    <w:p w14:paraId="0C6288C0">
      <w:pPr>
        <w:keepNext w:val="0"/>
        <w:keepLines w:val="0"/>
        <w:pageBreakBefore w:val="0"/>
        <w:widowControl w:val="0"/>
        <w:numPr>
          <w:numId w:val="0"/>
        </w:numPr>
        <w:kinsoku/>
        <w:wordWrap/>
        <w:overflowPunct/>
        <w:topLinePunct w:val="0"/>
        <w:autoSpaceDE/>
        <w:autoSpaceDN/>
        <w:bidi w:val="0"/>
        <w:adjustRightInd/>
        <w:snapToGrid/>
        <w:spacing w:line="360" w:lineRule="auto"/>
        <w:ind w:firstLine="480" w:firstLineChars="200"/>
        <w:textAlignment w:val="auto"/>
        <w:rPr>
          <w:rFonts w:hint="eastAsia" w:ascii="仿宋_GB2312" w:hAnsi="仿宋_GB2312" w:eastAsia="仿宋_GB2312" w:cs="仿宋_GB2312"/>
          <w:color w:val="auto"/>
          <w:sz w:val="24"/>
          <w:szCs w:val="24"/>
          <w:shd w:val="clear" w:color="auto" w:fill="FFFFFF"/>
        </w:rPr>
      </w:pPr>
      <w:r>
        <w:rPr>
          <w:rFonts w:hint="eastAsia" w:ascii="仿宋_GB2312" w:hAnsi="仿宋_GB2312" w:eastAsia="仿宋_GB2312" w:cs="仿宋_GB2312"/>
          <w:color w:val="auto"/>
          <w:sz w:val="24"/>
          <w:szCs w:val="24"/>
          <w:shd w:val="clear" w:color="auto" w:fill="FFFFFF"/>
          <w:lang w:val="en-US" w:eastAsia="zh-CN"/>
        </w:rPr>
        <w:t>2.</w:t>
      </w:r>
      <w:r>
        <w:rPr>
          <w:rFonts w:hint="eastAsia" w:ascii="仿宋_GB2312" w:hAnsi="仿宋_GB2312" w:eastAsia="仿宋_GB2312" w:cs="仿宋_GB2312"/>
          <w:color w:val="auto"/>
          <w:sz w:val="24"/>
          <w:szCs w:val="24"/>
          <w:shd w:val="clear" w:color="auto" w:fill="FFFFFF"/>
        </w:rPr>
        <w:t>校企协同助力技能竞赛，共育高素质技术人才。</w:t>
      </w:r>
    </w:p>
    <w:p w14:paraId="4054DDA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_GB2312" w:hAnsi="仿宋_GB2312" w:eastAsia="仿宋_GB2312" w:cs="仿宋_GB2312"/>
          <w:color w:val="auto"/>
          <w:sz w:val="24"/>
          <w:szCs w:val="24"/>
          <w:shd w:val="clear" w:color="auto" w:fill="FFFFFF"/>
        </w:rPr>
      </w:pPr>
      <w:r>
        <w:rPr>
          <w:rFonts w:hint="eastAsia" w:ascii="仿宋_GB2312" w:hAnsi="仿宋_GB2312" w:eastAsia="仿宋_GB2312" w:cs="仿宋_GB2312"/>
          <w:color w:val="auto"/>
          <w:sz w:val="24"/>
          <w:szCs w:val="24"/>
          <w:shd w:val="clear" w:color="auto" w:fill="FFFFFF"/>
          <w:lang w:val="en-US" w:eastAsia="zh-CN"/>
        </w:rPr>
        <w:t>为</w:t>
      </w:r>
      <w:r>
        <w:rPr>
          <w:rFonts w:hint="eastAsia" w:ascii="仿宋_GB2312" w:hAnsi="仿宋_GB2312" w:eastAsia="仿宋_GB2312" w:cs="仿宋_GB2312"/>
          <w:color w:val="auto"/>
          <w:sz w:val="24"/>
          <w:szCs w:val="24"/>
          <w:shd w:val="clear" w:color="auto" w:fill="FFFFFF"/>
        </w:rPr>
        <w:t>深化产教融合、提升学生实践能力和职业素养</w:t>
      </w:r>
      <w:r>
        <w:rPr>
          <w:rFonts w:hint="eastAsia" w:ascii="仿宋_GB2312" w:hAnsi="仿宋_GB2312" w:eastAsia="仿宋_GB2312" w:cs="仿宋_GB2312"/>
          <w:color w:val="auto"/>
          <w:sz w:val="24"/>
          <w:szCs w:val="24"/>
          <w:shd w:val="clear" w:color="auto" w:fill="FFFFFF"/>
          <w:lang w:eastAsia="zh-CN"/>
        </w:rPr>
        <w:t>，</w:t>
      </w:r>
      <w:r>
        <w:rPr>
          <w:rFonts w:hint="eastAsia" w:ascii="仿宋_GB2312" w:hAnsi="仿宋_GB2312" w:eastAsia="仿宋_GB2312" w:cs="仿宋_GB2312"/>
          <w:color w:val="auto"/>
          <w:sz w:val="24"/>
          <w:szCs w:val="24"/>
          <w:shd w:val="clear" w:color="auto" w:fill="FFFFFF"/>
        </w:rPr>
        <w:t>学校能够借助企业的技术资源和行业经验，为学生提供更具针对性和实战性的竞赛辅导</w:t>
      </w:r>
      <w:r>
        <w:rPr>
          <w:rFonts w:hint="eastAsia" w:ascii="仿宋_GB2312" w:hAnsi="仿宋_GB2312" w:eastAsia="仿宋_GB2312" w:cs="仿宋_GB2312"/>
          <w:color w:val="auto"/>
          <w:sz w:val="24"/>
          <w:szCs w:val="24"/>
          <w:shd w:val="clear" w:color="auto" w:fill="FFFFFF"/>
          <w:lang w:eastAsia="zh-CN"/>
        </w:rPr>
        <w:t>，</w:t>
      </w:r>
      <w:r>
        <w:rPr>
          <w:rFonts w:hint="eastAsia" w:ascii="仿宋_GB2312" w:hAnsi="仿宋_GB2312" w:eastAsia="仿宋_GB2312" w:cs="仿宋_GB2312"/>
          <w:color w:val="auto"/>
          <w:sz w:val="24"/>
          <w:szCs w:val="24"/>
          <w:shd w:val="clear" w:color="auto" w:fill="FFFFFF"/>
        </w:rPr>
        <w:t>由学校</w:t>
      </w:r>
      <w:r>
        <w:rPr>
          <w:rFonts w:hint="eastAsia" w:ascii="仿宋_GB2312" w:hAnsi="仿宋_GB2312" w:eastAsia="仿宋_GB2312" w:cs="仿宋_GB2312"/>
          <w:color w:val="auto"/>
          <w:sz w:val="24"/>
          <w:szCs w:val="24"/>
          <w:shd w:val="clear" w:color="auto" w:fill="FFFFFF"/>
          <w:lang w:val="en-US" w:eastAsia="zh-CN"/>
        </w:rPr>
        <w:t>专任专业骨干</w:t>
      </w:r>
      <w:r>
        <w:rPr>
          <w:rFonts w:hint="eastAsia" w:ascii="仿宋_GB2312" w:hAnsi="仿宋_GB2312" w:eastAsia="仿宋_GB2312" w:cs="仿宋_GB2312"/>
          <w:color w:val="auto"/>
          <w:sz w:val="24"/>
          <w:szCs w:val="24"/>
          <w:shd w:val="clear" w:color="auto" w:fill="FFFFFF"/>
        </w:rPr>
        <w:t>教师和企业技术骨干共同组建辅导团队</w:t>
      </w:r>
      <w:r>
        <w:rPr>
          <w:rFonts w:hint="eastAsia" w:ascii="仿宋_GB2312" w:hAnsi="仿宋_GB2312" w:eastAsia="仿宋_GB2312" w:cs="仿宋_GB2312"/>
          <w:color w:val="auto"/>
          <w:sz w:val="24"/>
          <w:szCs w:val="24"/>
          <w:shd w:val="clear" w:color="auto" w:fill="FFFFFF"/>
          <w:lang w:eastAsia="zh-CN"/>
        </w:rPr>
        <w:t>，</w:t>
      </w:r>
      <w:r>
        <w:rPr>
          <w:rFonts w:hint="eastAsia" w:ascii="仿宋_GB2312" w:hAnsi="仿宋_GB2312" w:eastAsia="仿宋_GB2312" w:cs="仿宋_GB2312"/>
          <w:color w:val="auto"/>
          <w:sz w:val="24"/>
          <w:szCs w:val="24"/>
          <w:shd w:val="clear" w:color="auto" w:fill="FFFFFF"/>
        </w:rPr>
        <w:t>联合制定辅导计划。</w:t>
      </w:r>
      <w:r>
        <w:rPr>
          <w:rFonts w:hint="eastAsia" w:ascii="仿宋_GB2312" w:hAnsi="仿宋_GB2312" w:eastAsia="仿宋_GB2312" w:cs="仿宋_GB2312"/>
          <w:color w:val="auto"/>
          <w:sz w:val="24"/>
          <w:szCs w:val="24"/>
          <w:shd w:val="clear" w:color="auto" w:fill="FFFFFF"/>
          <w:lang w:val="en-US" w:eastAsia="zh-CN"/>
        </w:rPr>
        <w:t>各有分工，</w:t>
      </w:r>
      <w:r>
        <w:rPr>
          <w:rFonts w:hint="eastAsia" w:ascii="仿宋_GB2312" w:hAnsi="仿宋_GB2312" w:eastAsia="仿宋_GB2312" w:cs="仿宋_GB2312"/>
          <w:color w:val="auto"/>
          <w:sz w:val="24"/>
          <w:szCs w:val="24"/>
          <w:shd w:val="clear" w:color="auto" w:fill="FFFFFF"/>
        </w:rPr>
        <w:t>企业专家根据行业最新技术动态和竞赛要求，提供真实案例和技术支持，帮助学生掌握前沿技能；学校教师则负责理论知识的系统梳理和基础技能的强化训练。通过模拟竞赛、项目实战等方式，提升学生的实际操作能力和应变能力。同时，企业提供真实的工作场景和设备，让学生在实践中积累经验，增强竞赛信心。校企联合辅导还能激发学生的学习热情，培养团队协作精神和创新意识。通过竞赛辅导，学生不仅能够提升专业技能，还能增强职业竞争力，为未来就业奠定坚实基础。</w:t>
      </w:r>
    </w:p>
    <w:p w14:paraId="36022EEB">
      <w:pPr>
        <w:pStyle w:val="6"/>
        <w:keepNext w:val="0"/>
        <w:keepLines w:val="0"/>
        <w:widowControl/>
        <w:suppressLineNumbers w:val="0"/>
        <w:jc w:val="center"/>
      </w:pPr>
      <w:r>
        <w:drawing>
          <wp:inline distT="0" distB="0" distL="114300" distR="114300">
            <wp:extent cx="2423795" cy="1623060"/>
            <wp:effectExtent l="0" t="0" r="14605" b="7620"/>
            <wp:docPr id="17"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 descr="IMG_256"/>
                    <pic:cNvPicPr>
                      <a:picLocks noChangeAspect="1"/>
                    </pic:cNvPicPr>
                  </pic:nvPicPr>
                  <pic:blipFill>
                    <a:blip r:embed="rId10"/>
                    <a:srcRect t="12495" r="13701" b="10472"/>
                    <a:stretch>
                      <a:fillRect/>
                    </a:stretch>
                  </pic:blipFill>
                  <pic:spPr>
                    <a:xfrm>
                      <a:off x="0" y="0"/>
                      <a:ext cx="2423795" cy="1623060"/>
                    </a:xfrm>
                    <a:prstGeom prst="rect">
                      <a:avLst/>
                    </a:prstGeom>
                    <a:noFill/>
                    <a:ln w="9525">
                      <a:noFill/>
                    </a:ln>
                  </pic:spPr>
                </pic:pic>
              </a:graphicData>
            </a:graphic>
          </wp:inline>
        </w:drawing>
      </w:r>
      <w:r>
        <w:rPr>
          <w:rFonts w:hint="eastAsia"/>
          <w:lang w:val="en-US" w:eastAsia="zh-CN"/>
        </w:rPr>
        <w:t xml:space="preserve">  </w:t>
      </w:r>
      <w:r>
        <w:drawing>
          <wp:inline distT="0" distB="0" distL="114300" distR="114300">
            <wp:extent cx="2454910" cy="1629410"/>
            <wp:effectExtent l="0" t="0" r="13970" b="1270"/>
            <wp:docPr id="20"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5" descr="IMG_256"/>
                    <pic:cNvPicPr>
                      <a:picLocks noChangeAspect="1"/>
                    </pic:cNvPicPr>
                  </pic:nvPicPr>
                  <pic:blipFill>
                    <a:blip r:embed="rId11"/>
                    <a:srcRect l="88" t="7877" r="5465" b="8886"/>
                    <a:stretch>
                      <a:fillRect/>
                    </a:stretch>
                  </pic:blipFill>
                  <pic:spPr>
                    <a:xfrm>
                      <a:off x="0" y="0"/>
                      <a:ext cx="2454910" cy="1629410"/>
                    </a:xfrm>
                    <a:prstGeom prst="rect">
                      <a:avLst/>
                    </a:prstGeom>
                    <a:noFill/>
                    <a:ln w="9525">
                      <a:noFill/>
                    </a:ln>
                  </pic:spPr>
                </pic:pic>
              </a:graphicData>
            </a:graphic>
          </wp:inline>
        </w:drawing>
      </w:r>
    </w:p>
    <w:p w14:paraId="29E1E456">
      <w:pPr>
        <w:spacing w:before="156" w:beforeLines="50" w:after="156" w:afterLines="50" w:line="360" w:lineRule="auto"/>
        <w:ind w:firstLine="562" w:firstLineChars="200"/>
        <w:rPr>
          <w:rFonts w:ascii="黑体" w:hAnsi="黑体" w:eastAsia="黑体" w:cs="黑体"/>
          <w:b/>
          <w:color w:val="auto"/>
          <w:sz w:val="28"/>
          <w:szCs w:val="28"/>
        </w:rPr>
      </w:pPr>
      <w:r>
        <w:rPr>
          <w:rFonts w:hint="eastAsia" w:ascii="黑体" w:hAnsi="黑体" w:eastAsia="黑体" w:cs="黑体"/>
          <w:b/>
          <w:color w:val="auto"/>
          <w:sz w:val="28"/>
          <w:szCs w:val="28"/>
        </w:rPr>
        <w:t>四、参与“五金”建设</w:t>
      </w:r>
    </w:p>
    <w:p w14:paraId="6D1ECEBA">
      <w:pPr>
        <w:spacing w:line="360" w:lineRule="auto"/>
        <w:ind w:firstLine="482" w:firstLineChars="200"/>
        <w:rPr>
          <w:rFonts w:ascii="仿宋_GB2312" w:hAnsi="仿宋_GB2312" w:eastAsia="仿宋_GB2312" w:cs="仿宋_GB2312"/>
          <w:b/>
          <w:bCs/>
          <w:color w:val="auto"/>
          <w:sz w:val="24"/>
          <w:szCs w:val="24"/>
          <w:shd w:val="clear" w:color="auto" w:fill="FFFFFF"/>
        </w:rPr>
      </w:pPr>
      <w:r>
        <w:rPr>
          <w:rFonts w:hint="eastAsia" w:ascii="仿宋_GB2312" w:hAnsi="仿宋_GB2312" w:eastAsia="仿宋_GB2312" w:cs="仿宋_GB2312"/>
          <w:b/>
          <w:bCs/>
          <w:color w:val="auto"/>
          <w:sz w:val="24"/>
          <w:szCs w:val="24"/>
          <w:shd w:val="clear" w:color="auto" w:fill="FFFFFF"/>
        </w:rPr>
        <w:t>（一）专业建设</w:t>
      </w:r>
    </w:p>
    <w:p w14:paraId="184C0CF5">
      <w:pPr>
        <w:spacing w:line="360" w:lineRule="auto"/>
        <w:ind w:firstLine="480" w:firstLineChars="200"/>
        <w:rPr>
          <w:rFonts w:hint="eastAsia" w:ascii="仿宋_GB2312" w:hAnsi="宋体" w:eastAsia="仿宋_GB2312" w:cs="黑体"/>
          <w:color w:val="auto"/>
          <w:sz w:val="24"/>
        </w:rPr>
      </w:pPr>
      <w:r>
        <w:rPr>
          <w:rFonts w:hint="eastAsia" w:ascii="仿宋_GB2312" w:hAnsi="仿宋_GB2312" w:eastAsia="仿宋_GB2312" w:cs="仿宋_GB2312"/>
          <w:bCs/>
          <w:color w:val="auto"/>
          <w:sz w:val="24"/>
          <w:szCs w:val="24"/>
          <w:shd w:val="clear" w:color="auto" w:fill="FFFFFF"/>
          <w:lang w:val="en-US" w:eastAsia="zh-CN"/>
        </w:rPr>
        <w:t>结合公司在建筑艺术设计领域的优势，与学院现有专业相结合，聘请</w:t>
      </w:r>
      <w:r>
        <w:rPr>
          <w:rFonts w:hint="default" w:ascii="仿宋_GB2312" w:hAnsi="仿宋_GB2312" w:eastAsia="仿宋_GB2312" w:cs="仿宋_GB2312"/>
          <w:bCs/>
          <w:color w:val="auto"/>
          <w:sz w:val="24"/>
          <w:szCs w:val="24"/>
          <w:shd w:val="clear" w:color="auto" w:fill="FFFFFF"/>
          <w:lang w:val="en-US" w:eastAsia="zh-CN"/>
        </w:rPr>
        <w:t>具有丰富行业经验和专业技能的</w:t>
      </w:r>
      <w:r>
        <w:rPr>
          <w:rFonts w:hint="eastAsia" w:ascii="仿宋_GB2312" w:hAnsi="仿宋_GB2312" w:eastAsia="仿宋_GB2312" w:cs="仿宋_GB2312"/>
          <w:bCs/>
          <w:color w:val="auto"/>
          <w:sz w:val="24"/>
          <w:szCs w:val="24"/>
          <w:shd w:val="clear" w:color="auto" w:fill="FFFFFF"/>
          <w:lang w:val="en-US" w:eastAsia="zh-CN"/>
        </w:rPr>
        <w:t>资深</w:t>
      </w:r>
      <w:r>
        <w:rPr>
          <w:rFonts w:hint="eastAsia" w:ascii="仿宋_GB2312" w:hAnsi="仿宋_GB2312" w:eastAsia="仿宋_GB2312" w:cs="仿宋_GB2312"/>
          <w:bCs/>
          <w:color w:val="auto"/>
          <w:sz w:val="24"/>
          <w:szCs w:val="24"/>
          <w:shd w:val="clear" w:color="auto" w:fill="FFFFFF"/>
          <w:lang w:val="zh-CN" w:eastAsia="zh-CN"/>
        </w:rPr>
        <w:t>高级室内建筑师</w:t>
      </w:r>
      <w:r>
        <w:rPr>
          <w:rFonts w:hint="eastAsia" w:ascii="仿宋_GB2312" w:hAnsi="仿宋_GB2312" w:eastAsia="仿宋_GB2312" w:cs="仿宋_GB2312"/>
          <w:bCs/>
          <w:color w:val="auto"/>
          <w:sz w:val="24"/>
          <w:szCs w:val="24"/>
          <w:shd w:val="clear" w:color="auto" w:fill="FFFFFF"/>
          <w:lang w:val="en-US" w:eastAsia="zh-CN"/>
        </w:rPr>
        <w:t>曹其先生</w:t>
      </w:r>
      <w:r>
        <w:rPr>
          <w:rFonts w:hint="default" w:ascii="仿宋_GB2312" w:hAnsi="仿宋_GB2312" w:eastAsia="仿宋_GB2312" w:cs="仿宋_GB2312"/>
          <w:bCs/>
          <w:color w:val="auto"/>
          <w:sz w:val="24"/>
          <w:szCs w:val="24"/>
          <w:shd w:val="clear" w:color="auto" w:fill="FFFFFF"/>
          <w:lang w:val="en-US" w:eastAsia="zh-CN"/>
        </w:rPr>
        <w:t>担任</w:t>
      </w:r>
      <w:r>
        <w:rPr>
          <w:rFonts w:hint="eastAsia" w:ascii="仿宋_GB2312" w:hAnsi="仿宋_GB2312" w:eastAsia="仿宋_GB2312" w:cs="仿宋_GB2312"/>
          <w:bCs/>
          <w:color w:val="auto"/>
          <w:sz w:val="24"/>
          <w:szCs w:val="24"/>
          <w:shd w:val="clear" w:color="auto" w:fill="FFFFFF"/>
          <w:lang w:val="en-US" w:eastAsia="zh-CN"/>
        </w:rPr>
        <w:t>学院专业建设指导委员会主任委员，并担当企业</w:t>
      </w:r>
      <w:r>
        <w:rPr>
          <w:rFonts w:hint="default" w:ascii="仿宋_GB2312" w:hAnsi="仿宋_GB2312" w:eastAsia="仿宋_GB2312" w:cs="仿宋_GB2312"/>
          <w:bCs/>
          <w:color w:val="auto"/>
          <w:sz w:val="24"/>
          <w:szCs w:val="24"/>
          <w:shd w:val="clear" w:color="auto" w:fill="FFFFFF"/>
          <w:lang w:val="en-US" w:eastAsia="zh-CN"/>
        </w:rPr>
        <w:t>导师，</w:t>
      </w:r>
      <w:r>
        <w:rPr>
          <w:rFonts w:hint="eastAsia" w:ascii="仿宋_GB2312" w:hAnsi="仿宋_GB2312" w:eastAsia="仿宋_GB2312" w:cs="仿宋_GB2312"/>
          <w:bCs/>
          <w:color w:val="auto"/>
          <w:sz w:val="24"/>
          <w:szCs w:val="24"/>
          <w:shd w:val="clear" w:color="auto" w:fill="FFFFFF"/>
          <w:lang w:val="en-US" w:eastAsia="zh-CN"/>
        </w:rPr>
        <w:t>参与协议</w:t>
      </w:r>
      <w:r>
        <w:rPr>
          <w:rFonts w:hint="eastAsia" w:ascii="仿宋_GB2312" w:hAnsi="宋体" w:eastAsia="仿宋_GB2312" w:cs="黑体"/>
          <w:color w:val="auto"/>
          <w:sz w:val="24"/>
        </w:rPr>
        <w:t>企业负责人及一线设计</w:t>
      </w:r>
      <w:r>
        <w:rPr>
          <w:rFonts w:hint="eastAsia" w:ascii="仿宋_GB2312" w:hAnsi="宋体" w:eastAsia="仿宋_GB2312" w:cs="黑体"/>
          <w:color w:val="auto"/>
          <w:sz w:val="24"/>
          <w:lang w:val="en-US" w:eastAsia="zh-CN"/>
        </w:rPr>
        <w:t>人员</w:t>
      </w:r>
      <w:r>
        <w:rPr>
          <w:rFonts w:hint="eastAsia" w:ascii="仿宋_GB2312" w:hAnsi="宋体" w:eastAsia="仿宋_GB2312" w:cs="黑体"/>
          <w:color w:val="auto"/>
          <w:sz w:val="24"/>
        </w:rPr>
        <w:t>参</w:t>
      </w:r>
      <w:bookmarkStart w:id="0" w:name="baidusnap7"/>
      <w:bookmarkEnd w:id="0"/>
      <w:r>
        <w:rPr>
          <w:rFonts w:hint="eastAsia" w:ascii="仿宋_GB2312" w:hAnsi="宋体" w:eastAsia="仿宋_GB2312" w:cs="黑体"/>
          <w:color w:val="auto"/>
          <w:sz w:val="24"/>
        </w:rPr>
        <w:t>与</w:t>
      </w:r>
      <w:r>
        <w:rPr>
          <w:rFonts w:hint="eastAsia" w:ascii="仿宋_GB2312" w:hAnsi="宋体" w:eastAsia="仿宋_GB2312" w:cs="黑体"/>
          <w:color w:val="auto"/>
          <w:sz w:val="24"/>
          <w:lang w:val="en-US" w:eastAsia="zh-CN"/>
        </w:rPr>
        <w:t>学院</w:t>
      </w:r>
      <w:r>
        <w:rPr>
          <w:rFonts w:hint="eastAsia" w:ascii="仿宋_GB2312" w:hAnsi="宋体" w:eastAsia="仿宋_GB2312" w:cs="黑体"/>
          <w:color w:val="auto"/>
          <w:sz w:val="24"/>
        </w:rPr>
        <w:t>专业人才培养方案制定，完成环境艺术设计、建筑室内设计两个方向的培养目标定位、人才培养方案、基于工作内容的项目课程标准、多方评价考核体系等制定。</w:t>
      </w:r>
    </w:p>
    <w:p w14:paraId="1CDAB851">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ind w:left="0" w:leftChars="0" w:firstLine="0" w:firstLineChars="0"/>
        <w:jc w:val="center"/>
        <w:textAlignment w:val="auto"/>
        <w:rPr>
          <w:rFonts w:hint="default" w:ascii="仿宋_GB2312" w:hAnsi="宋体" w:cs="黑体" w:eastAsiaTheme="minorEastAsia"/>
          <w:color w:val="auto"/>
          <w:sz w:val="24"/>
          <w:lang w:val="en-US" w:eastAsia="zh-CN"/>
        </w:rPr>
      </w:pPr>
      <w:r>
        <w:drawing>
          <wp:inline distT="0" distB="0" distL="114300" distR="114300">
            <wp:extent cx="2931795" cy="1641475"/>
            <wp:effectExtent l="0" t="0" r="9525" b="4445"/>
            <wp:docPr id="31" name="图片 12" descr="I:/DSC05000.JPGDSC05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2" descr="I:/DSC05000.JPGDSC05000"/>
                    <pic:cNvPicPr>
                      <a:picLocks noChangeAspect="1"/>
                    </pic:cNvPicPr>
                  </pic:nvPicPr>
                  <pic:blipFill>
                    <a:blip r:embed="rId12"/>
                    <a:srcRect l="11712" t="35875" r="16790" b="4088"/>
                    <a:stretch>
                      <a:fillRect/>
                    </a:stretch>
                  </pic:blipFill>
                  <pic:spPr>
                    <a:xfrm>
                      <a:off x="0" y="0"/>
                      <a:ext cx="2931795" cy="164147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434590" cy="1631950"/>
            <wp:effectExtent l="0" t="0" r="3810" b="139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3"/>
                    <a:stretch>
                      <a:fillRect/>
                    </a:stretch>
                  </pic:blipFill>
                  <pic:spPr>
                    <a:xfrm>
                      <a:off x="0" y="0"/>
                      <a:ext cx="2434590" cy="1631950"/>
                    </a:xfrm>
                    <a:prstGeom prst="rect">
                      <a:avLst/>
                    </a:prstGeom>
                    <a:noFill/>
                    <a:ln>
                      <a:noFill/>
                    </a:ln>
                  </pic:spPr>
                </pic:pic>
              </a:graphicData>
            </a:graphic>
          </wp:inline>
        </w:drawing>
      </w:r>
    </w:p>
    <w:p w14:paraId="6184C2A4">
      <w:pPr>
        <w:spacing w:line="360" w:lineRule="auto"/>
        <w:ind w:firstLine="480" w:firstLineChars="200"/>
        <w:rPr>
          <w:rFonts w:hint="eastAsia" w:ascii="仿宋_GB2312" w:hAnsi="仿宋_GB2312" w:eastAsia="仿宋_GB2312" w:cs="仿宋_GB2312"/>
          <w:bCs/>
          <w:color w:val="auto"/>
          <w:sz w:val="24"/>
          <w:szCs w:val="24"/>
          <w:shd w:val="clear" w:color="auto" w:fill="FFFFFF"/>
          <w:lang w:val="en-US" w:eastAsia="zh-CN"/>
        </w:rPr>
      </w:pPr>
      <w:r>
        <w:rPr>
          <w:rFonts w:hint="eastAsia" w:ascii="仿宋_GB2312" w:hAnsi="仿宋_GB2312" w:eastAsia="仿宋_GB2312" w:cs="仿宋_GB2312"/>
          <w:bCs/>
          <w:color w:val="auto"/>
          <w:sz w:val="24"/>
          <w:szCs w:val="24"/>
          <w:shd w:val="clear" w:color="auto" w:fill="FFFFFF"/>
          <w:lang w:val="en-US" w:eastAsia="zh-CN"/>
        </w:rPr>
        <w:t>在人才培养方案中，根据知识结构、能力结构、素质结构设置专业基础课程、专业核心课程、专业拓展课程，并涵盖有关实践性教学环节：包括实训、实习、毕业设计、社会实践等。以实际案例操作引导学生专业知识学习，以项目化引导带动专业课程建设。</w:t>
      </w:r>
      <w:r>
        <w:rPr>
          <w:rFonts w:hint="default" w:ascii="仿宋_GB2312" w:hAnsi="仿宋_GB2312" w:eastAsia="仿宋_GB2312" w:cs="仿宋_GB2312"/>
          <w:bCs/>
          <w:color w:val="auto"/>
          <w:sz w:val="24"/>
          <w:szCs w:val="24"/>
          <w:shd w:val="clear" w:color="auto" w:fill="FFFFFF"/>
          <w:lang w:val="en-US" w:eastAsia="zh-CN"/>
        </w:rPr>
        <w:t>为学生提供</w:t>
      </w:r>
      <w:r>
        <w:rPr>
          <w:rFonts w:hint="eastAsia" w:ascii="仿宋_GB2312" w:hAnsi="仿宋_GB2312" w:eastAsia="仿宋_GB2312" w:cs="仿宋_GB2312"/>
          <w:bCs/>
          <w:color w:val="auto"/>
          <w:sz w:val="24"/>
          <w:szCs w:val="24"/>
          <w:shd w:val="clear" w:color="auto" w:fill="FFFFFF"/>
          <w:lang w:val="en-US" w:eastAsia="zh-CN"/>
        </w:rPr>
        <w:t>专门</w:t>
      </w:r>
      <w:r>
        <w:rPr>
          <w:rFonts w:hint="default" w:ascii="仿宋_GB2312" w:hAnsi="仿宋_GB2312" w:eastAsia="仿宋_GB2312" w:cs="仿宋_GB2312"/>
          <w:bCs/>
          <w:color w:val="auto"/>
          <w:sz w:val="24"/>
          <w:szCs w:val="24"/>
          <w:shd w:val="clear" w:color="auto" w:fill="FFFFFF"/>
          <w:lang w:val="en-US" w:eastAsia="zh-CN"/>
        </w:rPr>
        <w:t>的职业指导和支持</w:t>
      </w:r>
      <w:r>
        <w:rPr>
          <w:rFonts w:hint="eastAsia" w:ascii="仿宋_GB2312" w:hAnsi="仿宋_GB2312" w:eastAsia="仿宋_GB2312" w:cs="仿宋_GB2312"/>
          <w:bCs/>
          <w:color w:val="auto"/>
          <w:sz w:val="24"/>
          <w:szCs w:val="24"/>
          <w:shd w:val="clear" w:color="auto" w:fill="FFFFFF"/>
          <w:lang w:val="en-US" w:eastAsia="zh-CN"/>
        </w:rPr>
        <w:t>，</w:t>
      </w:r>
      <w:r>
        <w:rPr>
          <w:rFonts w:hint="default" w:ascii="仿宋_GB2312" w:hAnsi="仿宋_GB2312" w:eastAsia="仿宋_GB2312" w:cs="仿宋_GB2312"/>
          <w:bCs/>
          <w:color w:val="auto"/>
          <w:sz w:val="24"/>
          <w:szCs w:val="24"/>
          <w:shd w:val="clear" w:color="auto" w:fill="FFFFFF"/>
          <w:lang w:val="en-US" w:eastAsia="zh-CN"/>
        </w:rPr>
        <w:t>企业导师通过分享自己的经验和知识，帮助学生了解行业现状、职业发展路径和关键技能</w:t>
      </w:r>
      <w:r>
        <w:rPr>
          <w:rFonts w:hint="eastAsia" w:ascii="仿宋_GB2312" w:hAnsi="仿宋_GB2312" w:eastAsia="仿宋_GB2312" w:cs="仿宋_GB2312"/>
          <w:bCs/>
          <w:color w:val="auto"/>
          <w:sz w:val="24"/>
          <w:szCs w:val="24"/>
          <w:shd w:val="clear" w:color="auto" w:fill="FFFFFF"/>
          <w:lang w:val="en-US" w:eastAsia="zh-CN"/>
        </w:rPr>
        <w:t>；</w:t>
      </w:r>
      <w:r>
        <w:rPr>
          <w:rFonts w:hint="default" w:ascii="仿宋_GB2312" w:hAnsi="仿宋_GB2312" w:eastAsia="仿宋_GB2312" w:cs="仿宋_GB2312"/>
          <w:bCs/>
          <w:color w:val="auto"/>
          <w:sz w:val="24"/>
          <w:szCs w:val="24"/>
          <w:shd w:val="clear" w:color="auto" w:fill="FFFFFF"/>
          <w:lang w:val="en-US" w:eastAsia="zh-CN"/>
        </w:rPr>
        <w:t>企业提供实习机会，帮助学生在企业中获得实际工作经验，应用所学知识和技能。</w:t>
      </w:r>
      <w:r>
        <w:rPr>
          <w:rFonts w:hint="eastAsia" w:ascii="仿宋_GB2312" w:hAnsi="仿宋_GB2312" w:eastAsia="仿宋_GB2312" w:cs="仿宋_GB2312"/>
          <w:bCs/>
          <w:color w:val="auto"/>
          <w:sz w:val="24"/>
          <w:szCs w:val="24"/>
          <w:shd w:val="clear" w:color="auto" w:fill="FFFFFF"/>
          <w:lang w:val="en-US" w:eastAsia="zh-CN"/>
        </w:rPr>
        <w:t>校企双方定期召开专业建设研讨会，共同探讨建筑艺术设计行业发展趋势，制定专业发展规划，确保专业建设的前瞻性和可持续性。</w:t>
      </w:r>
    </w:p>
    <w:p w14:paraId="31C89183">
      <w:pPr>
        <w:spacing w:line="360" w:lineRule="auto"/>
        <w:ind w:firstLine="482" w:firstLineChars="200"/>
        <w:rPr>
          <w:rFonts w:ascii="仿宋_GB2312" w:hAnsi="仿宋_GB2312" w:eastAsia="仿宋_GB2312" w:cs="仿宋_GB2312"/>
          <w:b/>
          <w:bCs/>
          <w:color w:val="auto"/>
          <w:sz w:val="24"/>
          <w:szCs w:val="24"/>
          <w:shd w:val="clear" w:color="auto" w:fill="FFFFFF"/>
        </w:rPr>
      </w:pPr>
      <w:r>
        <w:rPr>
          <w:rFonts w:hint="eastAsia" w:ascii="仿宋_GB2312" w:hAnsi="仿宋_GB2312" w:eastAsia="仿宋_GB2312" w:cs="仿宋_GB2312"/>
          <w:b/>
          <w:bCs/>
          <w:color w:val="auto"/>
          <w:sz w:val="24"/>
          <w:szCs w:val="24"/>
          <w:shd w:val="clear" w:color="auto" w:fill="FFFFFF"/>
        </w:rPr>
        <w:t>（二）课程建设</w:t>
      </w:r>
    </w:p>
    <w:p w14:paraId="4E786875">
      <w:pPr>
        <w:spacing w:line="360" w:lineRule="auto"/>
        <w:ind w:firstLine="480" w:firstLineChars="200"/>
        <w:rPr>
          <w:rFonts w:hint="eastAsia" w:ascii="仿宋_GB2312" w:hAnsi="仿宋_GB2312" w:eastAsia="仿宋_GB2312" w:cs="仿宋_GB2312"/>
          <w:bCs/>
          <w:color w:val="auto"/>
          <w:sz w:val="24"/>
          <w:szCs w:val="24"/>
          <w:shd w:val="clear" w:color="auto" w:fill="FFFFFF"/>
        </w:rPr>
      </w:pPr>
      <w:r>
        <w:rPr>
          <w:rFonts w:hint="eastAsia" w:ascii="仿宋_GB2312" w:hAnsi="仿宋_GB2312" w:eastAsia="仿宋_GB2312" w:cs="仿宋_GB2312"/>
          <w:bCs/>
          <w:color w:val="auto"/>
          <w:sz w:val="24"/>
          <w:szCs w:val="24"/>
          <w:shd w:val="clear" w:color="auto" w:fill="FFFFFF"/>
        </w:rPr>
        <w:t>校企合作课程建设是高职院校深化教育教学改革、提高人才培养质量的重要途径。公司选派资深设计师参与学院相关专业核心课程的开发和建设，将企业真实案例、项目经验融入课程内容，开发具有行业特色的优质核心课程</w:t>
      </w:r>
      <w:r>
        <w:rPr>
          <w:rFonts w:hint="eastAsia" w:ascii="仿宋_GB2312" w:hAnsi="仿宋_GB2312" w:eastAsia="仿宋_GB2312" w:cs="仿宋_GB2312"/>
          <w:bCs/>
          <w:color w:val="auto"/>
          <w:sz w:val="24"/>
          <w:szCs w:val="24"/>
          <w:shd w:val="clear" w:color="auto" w:fill="FFFFFF"/>
          <w:lang w:eastAsia="zh-CN"/>
        </w:rPr>
        <w:t>，</w:t>
      </w:r>
      <w:r>
        <w:rPr>
          <w:rFonts w:hint="eastAsia" w:ascii="仿宋_GB2312" w:hAnsi="仿宋_GB2312" w:eastAsia="仿宋_GB2312" w:cs="仿宋_GB2312"/>
          <w:bCs/>
          <w:color w:val="auto"/>
          <w:sz w:val="24"/>
          <w:szCs w:val="24"/>
          <w:shd w:val="clear" w:color="auto" w:fill="FFFFFF"/>
        </w:rPr>
        <w:t>开放企业内部的培训课程、设计案例等资源，</w:t>
      </w:r>
      <w:r>
        <w:rPr>
          <w:rFonts w:hint="eastAsia" w:ascii="仿宋_GB2312" w:hAnsi="仿宋_GB2312" w:eastAsia="仿宋_GB2312" w:cs="仿宋_GB2312"/>
          <w:bCs/>
          <w:color w:val="auto"/>
          <w:sz w:val="24"/>
          <w:szCs w:val="24"/>
          <w:shd w:val="clear" w:color="auto" w:fill="FFFFFF"/>
          <w:lang w:val="en-US" w:eastAsia="zh-CN"/>
        </w:rPr>
        <w:t>同步超星平台，</w:t>
      </w:r>
      <w:r>
        <w:rPr>
          <w:rFonts w:hint="eastAsia" w:ascii="仿宋_GB2312" w:hAnsi="仿宋_GB2312" w:eastAsia="仿宋_GB2312" w:cs="仿宋_GB2312"/>
          <w:bCs/>
          <w:color w:val="auto"/>
          <w:sz w:val="24"/>
          <w:szCs w:val="24"/>
          <w:shd w:val="clear" w:color="auto" w:fill="FFFFFF"/>
        </w:rPr>
        <w:t>与学院共享，丰富课程资源库，提升课程教学质量。共同编写基于工作过程的项目化教材，将企业真实项目转化为教学案例，引导学生“做中学、学中做”，提升学生的实践能力和职业素养。</w:t>
      </w:r>
    </w:p>
    <w:p w14:paraId="52CC737E">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ind w:left="0" w:leftChars="0" w:firstLine="0" w:firstLineChars="0"/>
        <w:jc w:val="center"/>
        <w:textAlignment w:val="auto"/>
        <w:rPr>
          <w:rFonts w:hint="eastAsia" w:ascii="仿宋_GB2312" w:hAnsi="仿宋_GB2312" w:eastAsia="仿宋_GB2312" w:cs="仿宋_GB2312"/>
          <w:bCs/>
          <w:color w:val="auto"/>
          <w:sz w:val="24"/>
          <w:szCs w:val="24"/>
          <w:shd w:val="clear" w:color="auto" w:fill="FFFFFF"/>
        </w:rPr>
      </w:pPr>
      <w:r>
        <w:drawing>
          <wp:inline distT="0" distB="0" distL="114300" distR="114300">
            <wp:extent cx="5416550" cy="2542540"/>
            <wp:effectExtent l="9525" t="9525" r="14605" b="23495"/>
            <wp:docPr id="2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1"/>
                    <pic:cNvPicPr>
                      <a:picLocks noChangeAspect="1"/>
                    </pic:cNvPicPr>
                  </pic:nvPicPr>
                  <pic:blipFill>
                    <a:blip r:embed="rId14"/>
                    <a:stretch>
                      <a:fillRect/>
                    </a:stretch>
                  </pic:blipFill>
                  <pic:spPr>
                    <a:xfrm>
                      <a:off x="0" y="0"/>
                      <a:ext cx="5416550" cy="2542540"/>
                    </a:xfrm>
                    <a:prstGeom prst="rect">
                      <a:avLst/>
                    </a:prstGeom>
                    <a:noFill/>
                    <a:ln>
                      <a:solidFill>
                        <a:schemeClr val="accent5">
                          <a:lumMod val="75000"/>
                        </a:schemeClr>
                      </a:solidFill>
                    </a:ln>
                  </pic:spPr>
                </pic:pic>
              </a:graphicData>
            </a:graphic>
          </wp:inline>
        </w:drawing>
      </w:r>
    </w:p>
    <w:p w14:paraId="6D683749">
      <w:pPr>
        <w:spacing w:line="360" w:lineRule="auto"/>
        <w:ind w:firstLine="480" w:firstLineChars="200"/>
        <w:rPr>
          <w:rFonts w:hint="eastAsia" w:ascii="仿宋_GB2312" w:hAnsi="仿宋_GB2312" w:eastAsia="仿宋_GB2312" w:cs="仿宋_GB2312"/>
          <w:bCs/>
          <w:color w:val="auto"/>
          <w:sz w:val="24"/>
          <w:szCs w:val="24"/>
          <w:shd w:val="clear" w:color="auto" w:fill="FFFFFF"/>
        </w:rPr>
      </w:pPr>
      <w:r>
        <w:rPr>
          <w:rFonts w:hint="eastAsia" w:ascii="仿宋_GB2312" w:hAnsi="仿宋_GB2312" w:eastAsia="仿宋_GB2312" w:cs="仿宋_GB2312"/>
          <w:bCs/>
          <w:color w:val="auto"/>
          <w:sz w:val="24"/>
          <w:szCs w:val="24"/>
          <w:shd w:val="clear" w:color="auto" w:fill="FFFFFF"/>
        </w:rPr>
        <w:t>1．项目牵引课程</w:t>
      </w:r>
    </w:p>
    <w:p w14:paraId="35F2F866">
      <w:pPr>
        <w:spacing w:line="360" w:lineRule="auto"/>
        <w:ind w:firstLine="480" w:firstLineChars="200"/>
        <w:rPr>
          <w:rFonts w:hint="eastAsia" w:ascii="仿宋_GB2312" w:hAnsi="仿宋_GB2312" w:eastAsia="仿宋_GB2312" w:cs="仿宋_GB2312"/>
          <w:bCs/>
          <w:color w:val="auto"/>
          <w:sz w:val="24"/>
          <w:szCs w:val="24"/>
          <w:shd w:val="clear" w:color="auto" w:fill="FFFFFF"/>
          <w:lang w:val="en-US" w:eastAsia="zh-CN"/>
        </w:rPr>
      </w:pPr>
      <w:r>
        <w:rPr>
          <w:rFonts w:hint="eastAsia" w:ascii="仿宋_GB2312" w:hAnsi="仿宋_GB2312" w:eastAsia="仿宋_GB2312" w:cs="仿宋_GB2312"/>
          <w:bCs/>
          <w:color w:val="auto"/>
          <w:sz w:val="24"/>
          <w:szCs w:val="24"/>
          <w:shd w:val="clear" w:color="auto" w:fill="FFFFFF"/>
          <w:lang w:val="en-US" w:eastAsia="zh-CN"/>
        </w:rPr>
        <w:t>企业根据行业市场需求出发，为学院专业人才培养提供了真实项目，将项目教学融入</w:t>
      </w:r>
      <w:r>
        <w:rPr>
          <w:rFonts w:hint="eastAsia" w:ascii="仿宋_GB2312" w:hAnsi="仿宋_GB2312" w:eastAsia="仿宋_GB2312" w:cs="仿宋_GB2312"/>
          <w:bCs/>
          <w:color w:val="auto"/>
          <w:sz w:val="24"/>
          <w:szCs w:val="24"/>
          <w:shd w:val="clear" w:color="auto" w:fill="FFFFFF"/>
        </w:rPr>
        <w:t>专业核心课程的</w:t>
      </w:r>
      <w:r>
        <w:rPr>
          <w:rFonts w:hint="eastAsia" w:ascii="仿宋_GB2312" w:hAnsi="仿宋_GB2312" w:eastAsia="仿宋_GB2312" w:cs="仿宋_GB2312"/>
          <w:bCs/>
          <w:color w:val="auto"/>
          <w:sz w:val="24"/>
          <w:szCs w:val="24"/>
          <w:shd w:val="clear" w:color="auto" w:fill="FFFFFF"/>
          <w:lang w:val="en-US" w:eastAsia="zh-CN"/>
        </w:rPr>
        <w:t>课堂</w:t>
      </w:r>
      <w:r>
        <w:rPr>
          <w:rFonts w:hint="eastAsia" w:ascii="仿宋_GB2312" w:hAnsi="仿宋_GB2312" w:eastAsia="仿宋_GB2312" w:cs="仿宋_GB2312"/>
          <w:bCs/>
          <w:color w:val="auto"/>
          <w:sz w:val="24"/>
          <w:szCs w:val="24"/>
          <w:shd w:val="clear" w:color="auto" w:fill="FFFFFF"/>
        </w:rPr>
        <w:t>教学</w:t>
      </w:r>
      <w:r>
        <w:rPr>
          <w:rFonts w:hint="eastAsia" w:ascii="仿宋_GB2312" w:hAnsi="仿宋_GB2312" w:eastAsia="仿宋_GB2312" w:cs="仿宋_GB2312"/>
          <w:bCs/>
          <w:color w:val="auto"/>
          <w:sz w:val="24"/>
          <w:szCs w:val="24"/>
          <w:shd w:val="clear" w:color="auto" w:fill="FFFFFF"/>
          <w:lang w:val="en-US" w:eastAsia="zh-CN"/>
        </w:rPr>
        <w:t>，引真实企业项目，融企业文化，模拟企业项目实践流程，从设计立意、设计过程、项目汇报、项目展示等方面，践行课程项目化，项目实际化，以项目实施培育技术技能型人才，切实解决实际问题。</w:t>
      </w:r>
    </w:p>
    <w:p w14:paraId="75DBF5E6">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ind w:left="0" w:leftChars="0" w:firstLine="0" w:firstLineChars="0"/>
        <w:textAlignment w:val="auto"/>
        <w:rPr>
          <w:rFonts w:hint="eastAsia" w:ascii="仿宋_GB2312" w:hAnsi="仿宋_GB2312" w:eastAsia="仿宋_GB2312" w:cs="仿宋_GB2312"/>
          <w:bCs/>
          <w:color w:val="auto"/>
          <w:sz w:val="24"/>
          <w:szCs w:val="24"/>
          <w:shd w:val="clear" w:color="auto" w:fill="FFFFFF"/>
          <w:lang w:val="en-US" w:eastAsia="zh-CN"/>
        </w:rPr>
      </w:pPr>
      <w:r>
        <w:drawing>
          <wp:inline distT="0" distB="0" distL="114300" distR="114300">
            <wp:extent cx="2394585" cy="1691640"/>
            <wp:effectExtent l="0" t="0" r="1333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5"/>
                    <a:stretch>
                      <a:fillRect/>
                    </a:stretch>
                  </pic:blipFill>
                  <pic:spPr>
                    <a:xfrm>
                      <a:off x="0" y="0"/>
                      <a:ext cx="2394585" cy="169164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996565" cy="1669415"/>
            <wp:effectExtent l="9525" t="9525" r="11430" b="1270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6"/>
                    <a:stretch>
                      <a:fillRect/>
                    </a:stretch>
                  </pic:blipFill>
                  <pic:spPr>
                    <a:xfrm>
                      <a:off x="0" y="0"/>
                      <a:ext cx="2996565" cy="1669415"/>
                    </a:xfrm>
                    <a:prstGeom prst="rect">
                      <a:avLst/>
                    </a:prstGeom>
                    <a:noFill/>
                    <a:ln>
                      <a:solidFill>
                        <a:schemeClr val="bg2">
                          <a:lumMod val="75000"/>
                        </a:schemeClr>
                      </a:solidFill>
                    </a:ln>
                  </pic:spPr>
                </pic:pic>
              </a:graphicData>
            </a:graphic>
          </wp:inline>
        </w:drawing>
      </w:r>
    </w:p>
    <w:p w14:paraId="6B881C00">
      <w:pPr>
        <w:spacing w:line="360" w:lineRule="auto"/>
        <w:ind w:firstLine="480" w:firstLineChars="200"/>
        <w:rPr>
          <w:rFonts w:hint="eastAsia" w:ascii="仿宋_GB2312" w:hAnsi="仿宋_GB2312" w:eastAsia="仿宋_GB2312" w:cs="仿宋_GB2312"/>
          <w:bCs/>
          <w:color w:val="auto"/>
          <w:sz w:val="24"/>
          <w:szCs w:val="24"/>
          <w:shd w:val="clear" w:color="auto" w:fill="FFFFFF"/>
        </w:rPr>
      </w:pPr>
      <w:r>
        <w:rPr>
          <w:rFonts w:hint="eastAsia" w:ascii="仿宋_GB2312" w:hAnsi="仿宋_GB2312" w:eastAsia="仿宋_GB2312" w:cs="仿宋_GB2312"/>
          <w:bCs/>
          <w:color w:val="auto"/>
          <w:sz w:val="24"/>
          <w:szCs w:val="24"/>
          <w:shd w:val="clear" w:color="auto" w:fill="FFFFFF"/>
        </w:rPr>
        <w:t>2．对接区域文化</w:t>
      </w:r>
    </w:p>
    <w:p w14:paraId="6D1B3E6E">
      <w:pPr>
        <w:spacing w:line="360" w:lineRule="auto"/>
        <w:ind w:firstLine="480" w:firstLineChars="200"/>
        <w:rPr>
          <w:rFonts w:hint="eastAsia" w:ascii="仿宋_GB2312" w:hAnsi="仿宋_GB2312" w:eastAsia="仿宋_GB2312" w:cs="仿宋_GB2312"/>
          <w:bCs/>
          <w:color w:val="auto"/>
          <w:sz w:val="24"/>
          <w:szCs w:val="24"/>
          <w:shd w:val="clear" w:color="auto" w:fill="FFFFFF"/>
        </w:rPr>
      </w:pPr>
      <w:r>
        <w:rPr>
          <w:rFonts w:hint="eastAsia" w:ascii="仿宋_GB2312" w:hAnsi="仿宋_GB2312" w:eastAsia="仿宋_GB2312" w:cs="仿宋_GB2312"/>
          <w:bCs/>
          <w:color w:val="auto"/>
          <w:sz w:val="24"/>
          <w:szCs w:val="24"/>
          <w:shd w:val="clear" w:color="auto" w:fill="FFFFFF"/>
        </w:rPr>
        <w:t>对接区域文化经济，融合区域建设理念，深耕区域文化艺术多元表现形式，丰富区域人居环境、视觉艺术、文化传播等表现形式，课程锚定项目，提升艺术审美、掌握软件数字技术、应用设计规范，在项目运行过程中，依据企业项目实施流程，培育引导策划创意、实地考察调研，形成项目策划方案，实施项目全程兼管、汇报项目成果，交流研讨项目总结。</w:t>
      </w:r>
    </w:p>
    <w:p w14:paraId="0C986DF1">
      <w:pPr>
        <w:spacing w:line="360" w:lineRule="auto"/>
        <w:ind w:firstLine="480" w:firstLineChars="200"/>
        <w:rPr>
          <w:rFonts w:hint="eastAsia" w:ascii="仿宋_GB2312" w:hAnsi="仿宋_GB2312" w:eastAsia="仿宋_GB2312" w:cs="仿宋_GB2312"/>
          <w:bCs/>
          <w:color w:val="auto"/>
          <w:sz w:val="24"/>
          <w:szCs w:val="24"/>
          <w:shd w:val="clear" w:color="auto" w:fill="FFFFFF"/>
        </w:rPr>
      </w:pPr>
      <w:r>
        <w:rPr>
          <w:rFonts w:hint="eastAsia" w:ascii="仿宋_GB2312" w:hAnsi="仿宋_GB2312" w:eastAsia="仿宋_GB2312" w:cs="仿宋_GB2312"/>
          <w:bCs/>
          <w:color w:val="auto"/>
          <w:sz w:val="24"/>
          <w:szCs w:val="24"/>
          <w:shd w:val="clear" w:color="auto" w:fill="FFFFFF"/>
        </w:rPr>
        <w:t>3．创新评价机制</w:t>
      </w:r>
    </w:p>
    <w:p w14:paraId="2D1F760D">
      <w:pPr>
        <w:spacing w:line="360" w:lineRule="auto"/>
        <w:ind w:firstLine="480" w:firstLineChars="200"/>
        <w:rPr>
          <w:rFonts w:hint="eastAsia" w:ascii="仿宋_GB2312" w:hAnsi="仿宋_GB2312" w:eastAsia="仿宋_GB2312" w:cs="仿宋_GB2312"/>
          <w:bCs/>
          <w:color w:val="auto"/>
          <w:sz w:val="24"/>
          <w:szCs w:val="24"/>
          <w:shd w:val="clear" w:color="auto" w:fill="FFFFFF"/>
        </w:rPr>
      </w:pPr>
      <w:r>
        <w:rPr>
          <w:rFonts w:hint="eastAsia" w:ascii="仿宋_GB2312" w:hAnsi="仿宋_GB2312" w:eastAsia="仿宋_GB2312" w:cs="仿宋_GB2312"/>
          <w:bCs/>
          <w:color w:val="auto"/>
          <w:sz w:val="24"/>
          <w:szCs w:val="24"/>
          <w:shd w:val="clear" w:color="auto" w:fill="FFFFFF"/>
        </w:rPr>
        <w:t>探索适合课程项目化运作的课程评价机制，注重项目设计的全过程评价，包括项目调研、项目设计实践、项目汇报展播等过程中体现的设计图纸完整性、设计制图规范性、设计想法原创性、设计实施积极性、设计汇报流畅性等因素，推行毕业设计展、企业现场招聘、课程项目期末汇报、跨专业共享平台基础课程成果展等多种</w:t>
      </w:r>
      <w:r>
        <w:rPr>
          <w:rFonts w:hint="eastAsia" w:ascii="仿宋_GB2312" w:hAnsi="仿宋_GB2312" w:eastAsia="仿宋_GB2312" w:cs="仿宋_GB2312"/>
          <w:bCs/>
          <w:color w:val="auto"/>
          <w:sz w:val="24"/>
          <w:szCs w:val="24"/>
          <w:shd w:val="clear" w:color="auto" w:fill="FFFFFF"/>
          <w:lang w:val="en-US" w:eastAsia="zh-CN"/>
        </w:rPr>
        <w:t>评价</w:t>
      </w:r>
      <w:r>
        <w:rPr>
          <w:rFonts w:hint="eastAsia" w:ascii="仿宋_GB2312" w:hAnsi="仿宋_GB2312" w:eastAsia="仿宋_GB2312" w:cs="仿宋_GB2312"/>
          <w:bCs/>
          <w:color w:val="auto"/>
          <w:sz w:val="24"/>
          <w:szCs w:val="24"/>
          <w:shd w:val="clear" w:color="auto" w:fill="FFFFFF"/>
        </w:rPr>
        <w:t>形式。在评价主体上，引入教师、</w:t>
      </w:r>
      <w:r>
        <w:rPr>
          <w:rFonts w:hint="eastAsia" w:ascii="仿宋_GB2312" w:hAnsi="仿宋_GB2312" w:eastAsia="仿宋_GB2312" w:cs="仿宋_GB2312"/>
          <w:bCs/>
          <w:color w:val="auto"/>
          <w:sz w:val="24"/>
          <w:szCs w:val="24"/>
          <w:shd w:val="clear" w:color="auto" w:fill="FFFFFF"/>
          <w:lang w:val="en-US" w:eastAsia="zh-CN"/>
        </w:rPr>
        <w:t>学生</w:t>
      </w:r>
      <w:r>
        <w:rPr>
          <w:rFonts w:hint="eastAsia" w:ascii="仿宋_GB2312" w:hAnsi="仿宋_GB2312" w:eastAsia="仿宋_GB2312" w:cs="仿宋_GB2312"/>
          <w:bCs/>
          <w:color w:val="auto"/>
          <w:sz w:val="24"/>
          <w:szCs w:val="24"/>
          <w:shd w:val="clear" w:color="auto" w:fill="FFFFFF"/>
        </w:rPr>
        <w:t>、行企专家、业主等多类人群共同参与，保证课程评价的公平与实效性。</w:t>
      </w:r>
    </w:p>
    <w:p w14:paraId="23D4271D">
      <w:pPr>
        <w:spacing w:line="360" w:lineRule="auto"/>
        <w:ind w:firstLine="482" w:firstLineChars="200"/>
        <w:rPr>
          <w:rFonts w:ascii="仿宋_GB2312" w:hAnsi="仿宋_GB2312" w:eastAsia="仿宋_GB2312" w:cs="仿宋_GB2312"/>
          <w:b/>
          <w:bCs/>
          <w:color w:val="auto"/>
          <w:sz w:val="24"/>
          <w:szCs w:val="24"/>
          <w:shd w:val="clear" w:color="auto" w:fill="FFFFFF"/>
        </w:rPr>
      </w:pPr>
      <w:r>
        <w:rPr>
          <w:rFonts w:hint="eastAsia" w:ascii="仿宋_GB2312" w:hAnsi="仿宋_GB2312" w:eastAsia="仿宋_GB2312" w:cs="仿宋_GB2312"/>
          <w:b/>
          <w:bCs/>
          <w:color w:val="auto"/>
          <w:sz w:val="24"/>
          <w:szCs w:val="24"/>
          <w:shd w:val="clear" w:color="auto" w:fill="FFFFFF"/>
        </w:rPr>
        <w:t>（三）教材建设</w:t>
      </w:r>
    </w:p>
    <w:p w14:paraId="57E4C973">
      <w:pPr>
        <w:spacing w:line="360" w:lineRule="auto"/>
        <w:ind w:firstLine="480" w:firstLineChars="200"/>
        <w:rPr>
          <w:rFonts w:hint="eastAsia" w:ascii="仿宋_GB2312" w:hAnsi="仿宋_GB2312" w:eastAsia="仿宋_GB2312" w:cs="仿宋_GB2312"/>
          <w:bCs/>
          <w:color w:val="auto"/>
          <w:sz w:val="24"/>
          <w:szCs w:val="24"/>
          <w:shd w:val="clear" w:color="auto" w:fill="FFFFFF"/>
        </w:rPr>
      </w:pPr>
      <w:r>
        <w:rPr>
          <w:rFonts w:hint="eastAsia" w:ascii="仿宋_GB2312" w:hAnsi="仿宋_GB2312" w:eastAsia="仿宋_GB2312" w:cs="仿宋_GB2312"/>
          <w:bCs/>
          <w:color w:val="auto"/>
          <w:sz w:val="24"/>
          <w:szCs w:val="24"/>
          <w:shd w:val="clear" w:color="auto" w:fill="FFFFFF"/>
        </w:rPr>
        <w:t>针对艺术设计行业技术更新快的特点，</w:t>
      </w:r>
      <w:r>
        <w:rPr>
          <w:rFonts w:hint="eastAsia" w:ascii="仿宋_GB2312" w:hAnsi="仿宋_GB2312" w:eastAsia="仿宋_GB2312" w:cs="仿宋_GB2312"/>
          <w:bCs/>
          <w:color w:val="auto"/>
          <w:sz w:val="24"/>
          <w:szCs w:val="24"/>
          <w:shd w:val="clear" w:color="auto" w:fill="FFFFFF"/>
          <w:lang w:val="en-US" w:eastAsia="zh-CN"/>
        </w:rPr>
        <w:t>校企</w:t>
      </w:r>
      <w:r>
        <w:rPr>
          <w:rFonts w:hint="eastAsia" w:ascii="仿宋_GB2312" w:hAnsi="仿宋_GB2312" w:eastAsia="仿宋_GB2312" w:cs="仿宋_GB2312"/>
          <w:bCs/>
          <w:color w:val="auto"/>
          <w:sz w:val="24"/>
          <w:szCs w:val="24"/>
          <w:shd w:val="clear" w:color="auto" w:fill="FFFFFF"/>
        </w:rPr>
        <w:t>双方共同开发活页式教材，方便及时更新教学内容，保持教材的先进性和实用性。将公司的经典设计案例、项目经验进行整理和提炼，形成案例库，为教学提供丰富的素材和参考。</w:t>
      </w:r>
      <w:r>
        <w:rPr>
          <w:rFonts w:hint="eastAsia" w:ascii="仿宋_GB2312" w:hAnsi="仿宋_GB2312" w:eastAsia="仿宋_GB2312" w:cs="仿宋_GB2312"/>
          <w:bCs/>
          <w:color w:val="auto"/>
          <w:sz w:val="24"/>
          <w:szCs w:val="24"/>
          <w:shd w:val="clear" w:color="auto" w:fill="FFFFFF"/>
          <w:lang w:val="en-US" w:eastAsia="zh-CN"/>
        </w:rPr>
        <w:t>将企业案例转化为教材线上</w:t>
      </w:r>
      <w:r>
        <w:rPr>
          <w:rFonts w:hint="eastAsia" w:ascii="仿宋_GB2312" w:hAnsi="仿宋_GB2312" w:eastAsia="仿宋_GB2312" w:cs="仿宋_GB2312"/>
          <w:bCs/>
          <w:color w:val="auto"/>
          <w:sz w:val="24"/>
          <w:szCs w:val="24"/>
          <w:shd w:val="clear" w:color="auto" w:fill="FFFFFF"/>
        </w:rPr>
        <w:t>资源，丰富教学手段，提升学生的学习兴趣和效率。组建由学校</w:t>
      </w:r>
      <w:r>
        <w:rPr>
          <w:rFonts w:hint="eastAsia" w:ascii="仿宋_GB2312" w:hAnsi="仿宋_GB2312" w:eastAsia="仿宋_GB2312" w:cs="仿宋_GB2312"/>
          <w:bCs/>
          <w:color w:val="auto"/>
          <w:sz w:val="24"/>
          <w:szCs w:val="24"/>
          <w:shd w:val="clear" w:color="auto" w:fill="FFFFFF"/>
          <w:lang w:val="en-US" w:eastAsia="zh-CN"/>
        </w:rPr>
        <w:t>专业骨干</w:t>
      </w:r>
      <w:r>
        <w:rPr>
          <w:rFonts w:hint="eastAsia" w:ascii="仿宋_GB2312" w:hAnsi="仿宋_GB2312" w:eastAsia="仿宋_GB2312" w:cs="仿宋_GB2312"/>
          <w:bCs/>
          <w:color w:val="auto"/>
          <w:sz w:val="24"/>
          <w:szCs w:val="24"/>
          <w:shd w:val="clear" w:color="auto" w:fill="FFFFFF"/>
        </w:rPr>
        <w:t>教师、企业</w:t>
      </w:r>
      <w:r>
        <w:rPr>
          <w:rFonts w:hint="eastAsia" w:ascii="仿宋_GB2312" w:hAnsi="仿宋_GB2312" w:eastAsia="仿宋_GB2312" w:cs="仿宋_GB2312"/>
          <w:bCs/>
          <w:color w:val="auto"/>
          <w:sz w:val="24"/>
          <w:szCs w:val="24"/>
          <w:shd w:val="clear" w:color="auto" w:fill="FFFFFF"/>
          <w:lang w:val="en-US" w:eastAsia="zh-CN"/>
        </w:rPr>
        <w:t>一些设计师</w:t>
      </w:r>
      <w:r>
        <w:rPr>
          <w:rFonts w:hint="eastAsia" w:ascii="仿宋_GB2312" w:hAnsi="仿宋_GB2312" w:eastAsia="仿宋_GB2312" w:cs="仿宋_GB2312"/>
          <w:bCs/>
          <w:color w:val="auto"/>
          <w:sz w:val="24"/>
          <w:szCs w:val="24"/>
          <w:shd w:val="clear" w:color="auto" w:fill="FFFFFF"/>
        </w:rPr>
        <w:t>、行业学者共同参与的教材开发团队，充分发挥各方优势，确保教材内容的科学性、先进性和实用性</w:t>
      </w:r>
      <w:r>
        <w:rPr>
          <w:rFonts w:hint="eastAsia" w:ascii="仿宋_GB2312" w:hAnsi="仿宋_GB2312" w:eastAsia="仿宋_GB2312" w:cs="仿宋_GB2312"/>
          <w:bCs/>
          <w:color w:val="auto"/>
          <w:sz w:val="24"/>
          <w:szCs w:val="24"/>
          <w:shd w:val="clear" w:color="auto" w:fill="FFFFFF"/>
          <w:lang w:eastAsia="zh-CN"/>
        </w:rPr>
        <w:t>；</w:t>
      </w:r>
      <w:r>
        <w:rPr>
          <w:rFonts w:hint="eastAsia" w:ascii="仿宋_GB2312" w:hAnsi="仿宋_GB2312" w:eastAsia="仿宋_GB2312" w:cs="仿宋_GB2312"/>
          <w:bCs/>
          <w:color w:val="auto"/>
          <w:sz w:val="24"/>
          <w:szCs w:val="24"/>
          <w:shd w:val="clear" w:color="auto" w:fill="FFFFFF"/>
        </w:rPr>
        <w:t>引入企业资源，丰富教材内容</w:t>
      </w:r>
      <w:r>
        <w:rPr>
          <w:rFonts w:hint="eastAsia" w:ascii="仿宋_GB2312" w:hAnsi="仿宋_GB2312" w:eastAsia="仿宋_GB2312" w:cs="仿宋_GB2312"/>
          <w:bCs/>
          <w:color w:val="auto"/>
          <w:sz w:val="24"/>
          <w:szCs w:val="24"/>
          <w:shd w:val="clear" w:color="auto" w:fill="FFFFFF"/>
          <w:lang w:eastAsia="zh-CN"/>
        </w:rPr>
        <w:t>，</w:t>
      </w:r>
      <w:r>
        <w:rPr>
          <w:rFonts w:hint="eastAsia" w:ascii="仿宋_GB2312" w:hAnsi="仿宋_GB2312" w:eastAsia="仿宋_GB2312" w:cs="仿宋_GB2312"/>
          <w:bCs/>
          <w:color w:val="auto"/>
          <w:sz w:val="24"/>
          <w:szCs w:val="24"/>
          <w:shd w:val="clear" w:color="auto" w:fill="FFFFFF"/>
        </w:rPr>
        <w:t>利用企业提供的图片、视频、动画等资源，开发配套的数字教材和在线课程，丰富教材表现形式</w:t>
      </w:r>
      <w:r>
        <w:rPr>
          <w:rFonts w:hint="eastAsia" w:ascii="仿宋_GB2312" w:hAnsi="仿宋_GB2312" w:eastAsia="仿宋_GB2312" w:cs="仿宋_GB2312"/>
          <w:bCs/>
          <w:color w:val="auto"/>
          <w:sz w:val="24"/>
          <w:szCs w:val="24"/>
          <w:shd w:val="clear" w:color="auto" w:fill="FFFFFF"/>
          <w:lang w:eastAsia="zh-CN"/>
        </w:rPr>
        <w:t>；</w:t>
      </w:r>
      <w:r>
        <w:rPr>
          <w:rFonts w:hint="eastAsia" w:ascii="仿宋_GB2312" w:hAnsi="仿宋_GB2312" w:eastAsia="仿宋_GB2312" w:cs="仿宋_GB2312"/>
          <w:bCs/>
          <w:color w:val="auto"/>
          <w:sz w:val="24"/>
          <w:szCs w:val="24"/>
          <w:shd w:val="clear" w:color="auto" w:fill="FFFFFF"/>
          <w:lang w:val="en-US" w:eastAsia="zh-CN"/>
        </w:rPr>
        <w:t>校企合作</w:t>
      </w:r>
      <w:r>
        <w:rPr>
          <w:rFonts w:hint="eastAsia" w:ascii="仿宋_GB2312" w:hAnsi="仿宋_GB2312" w:eastAsia="仿宋_GB2312" w:cs="仿宋_GB2312"/>
          <w:bCs/>
          <w:color w:val="auto"/>
          <w:sz w:val="24"/>
          <w:szCs w:val="24"/>
          <w:shd w:val="clear" w:color="auto" w:fill="FFFFFF"/>
        </w:rPr>
        <w:t>共同开发</w:t>
      </w:r>
      <w:r>
        <w:rPr>
          <w:rFonts w:hint="eastAsia" w:ascii="仿宋_GB2312" w:hAnsi="仿宋_GB2312" w:eastAsia="仿宋_GB2312" w:cs="仿宋_GB2312"/>
          <w:bCs/>
          <w:color w:val="auto"/>
          <w:sz w:val="24"/>
          <w:szCs w:val="24"/>
          <w:shd w:val="clear" w:color="auto" w:fill="FFFFFF"/>
          <w:lang w:val="en-US" w:eastAsia="zh-CN"/>
        </w:rPr>
        <w:t>校本教材</w:t>
      </w:r>
      <w:r>
        <w:rPr>
          <w:rFonts w:hint="eastAsia" w:ascii="仿宋_GB2312" w:hAnsi="仿宋_GB2312" w:eastAsia="仿宋_GB2312" w:cs="仿宋_GB2312"/>
          <w:bCs/>
          <w:color w:val="auto"/>
          <w:sz w:val="24"/>
          <w:szCs w:val="24"/>
          <w:shd w:val="clear" w:color="auto" w:fill="FFFFFF"/>
        </w:rPr>
        <w:t>《</w:t>
      </w:r>
      <w:r>
        <w:rPr>
          <w:rFonts w:hint="eastAsia" w:ascii="仿宋_GB2312" w:hAnsi="仿宋_GB2312" w:eastAsia="仿宋_GB2312" w:cs="仿宋_GB2312"/>
          <w:bCs/>
          <w:color w:val="auto"/>
          <w:sz w:val="24"/>
          <w:szCs w:val="24"/>
          <w:shd w:val="clear" w:color="auto" w:fill="FFFFFF"/>
          <w:lang w:val="en-US" w:eastAsia="zh-CN"/>
        </w:rPr>
        <w:t>建筑装饰施工图深化设计</w:t>
      </w:r>
      <w:r>
        <w:rPr>
          <w:rFonts w:hint="eastAsia" w:ascii="仿宋_GB2312" w:hAnsi="仿宋_GB2312" w:eastAsia="仿宋_GB2312" w:cs="仿宋_GB2312"/>
          <w:bCs/>
          <w:color w:val="auto"/>
          <w:sz w:val="24"/>
          <w:szCs w:val="24"/>
          <w:shd w:val="clear" w:color="auto" w:fill="FFFFFF"/>
        </w:rPr>
        <w:t>》</w:t>
      </w:r>
      <w:r>
        <w:rPr>
          <w:rFonts w:hint="eastAsia" w:ascii="仿宋_GB2312" w:hAnsi="仿宋_GB2312" w:eastAsia="仿宋_GB2312" w:cs="仿宋_GB2312"/>
          <w:bCs/>
          <w:color w:val="auto"/>
          <w:sz w:val="24"/>
          <w:szCs w:val="24"/>
          <w:shd w:val="clear" w:color="auto" w:fill="FFFFFF"/>
          <w:lang w:eastAsia="zh-CN"/>
        </w:rPr>
        <w:t>，</w:t>
      </w:r>
      <w:r>
        <w:rPr>
          <w:rFonts w:hint="eastAsia" w:ascii="仿宋_GB2312" w:hAnsi="仿宋_GB2312" w:eastAsia="仿宋_GB2312" w:cs="仿宋_GB2312"/>
          <w:bCs/>
          <w:color w:val="auto"/>
          <w:sz w:val="24"/>
          <w:szCs w:val="24"/>
          <w:shd w:val="clear" w:color="auto" w:fill="FFFFFF"/>
        </w:rPr>
        <w:t>采用活页式、工作手册式等新型教材形态，方便学生学习和教师教学</w:t>
      </w:r>
      <w:r>
        <w:rPr>
          <w:rFonts w:hint="eastAsia" w:ascii="仿宋_GB2312" w:hAnsi="仿宋_GB2312" w:eastAsia="仿宋_GB2312" w:cs="仿宋_GB2312"/>
          <w:bCs/>
          <w:color w:val="auto"/>
          <w:sz w:val="24"/>
          <w:szCs w:val="24"/>
          <w:shd w:val="clear" w:color="auto" w:fill="FFFFFF"/>
          <w:lang w:eastAsia="zh-CN"/>
        </w:rPr>
        <w:t>；</w:t>
      </w:r>
      <w:r>
        <w:rPr>
          <w:rFonts w:hint="eastAsia" w:ascii="仿宋_GB2312" w:hAnsi="仿宋_GB2312" w:eastAsia="仿宋_GB2312" w:cs="仿宋_GB2312"/>
          <w:bCs/>
          <w:color w:val="auto"/>
          <w:sz w:val="24"/>
          <w:szCs w:val="24"/>
          <w:shd w:val="clear" w:color="auto" w:fill="FFFFFF"/>
        </w:rPr>
        <w:t>融入“岗课赛证”综合育人理念：</w:t>
      </w:r>
      <w:r>
        <w:rPr>
          <w:rFonts w:hint="default" w:ascii="仿宋_GB2312" w:hAnsi="仿宋_GB2312" w:eastAsia="仿宋_GB2312" w:cs="仿宋_GB2312"/>
          <w:bCs/>
          <w:color w:val="auto"/>
          <w:sz w:val="24"/>
          <w:szCs w:val="24"/>
          <w:shd w:val="clear" w:color="auto" w:fill="FFFFFF"/>
        </w:rPr>
        <w:t> 教材内容融入职业技能等级证书标准、行业企业岗位要求和技能竞赛内容，实现“岗课赛证”融通。</w:t>
      </w:r>
    </w:p>
    <w:p w14:paraId="11A1CFC0">
      <w:pPr>
        <w:spacing w:line="360" w:lineRule="auto"/>
        <w:ind w:firstLine="482" w:firstLineChars="200"/>
        <w:rPr>
          <w:rFonts w:ascii="仿宋_GB2312" w:hAnsi="仿宋_GB2312" w:eastAsia="仿宋_GB2312" w:cs="仿宋_GB2312"/>
          <w:b/>
          <w:bCs/>
          <w:color w:val="auto"/>
          <w:sz w:val="24"/>
          <w:szCs w:val="24"/>
          <w:shd w:val="clear" w:color="auto" w:fill="FFFFFF"/>
        </w:rPr>
      </w:pPr>
      <w:r>
        <w:rPr>
          <w:rFonts w:hint="eastAsia" w:ascii="仿宋_GB2312" w:hAnsi="仿宋_GB2312" w:eastAsia="仿宋_GB2312" w:cs="仿宋_GB2312"/>
          <w:b/>
          <w:bCs/>
          <w:color w:val="auto"/>
          <w:sz w:val="24"/>
          <w:szCs w:val="24"/>
          <w:shd w:val="clear" w:color="auto" w:fill="FFFFFF"/>
        </w:rPr>
        <w:t>（四）师资建设</w:t>
      </w:r>
    </w:p>
    <w:p w14:paraId="4AAA49E1">
      <w:pPr>
        <w:spacing w:line="360" w:lineRule="auto"/>
        <w:ind w:firstLine="480" w:firstLineChars="200"/>
        <w:rPr>
          <w:rFonts w:hint="eastAsia" w:ascii="仿宋_GB2312" w:hAnsi="仿宋_GB2312" w:eastAsia="仿宋_GB2312" w:cs="仿宋_GB2312"/>
          <w:bCs/>
          <w:color w:val="auto"/>
          <w:sz w:val="24"/>
          <w:szCs w:val="24"/>
          <w:shd w:val="clear" w:color="auto" w:fill="FFFFFF"/>
        </w:rPr>
      </w:pPr>
      <w:r>
        <w:rPr>
          <w:rFonts w:hint="eastAsia" w:ascii="仿宋_GB2312" w:hAnsi="仿宋_GB2312" w:eastAsia="仿宋_GB2312" w:cs="仿宋_GB2312"/>
          <w:bCs/>
          <w:color w:val="auto"/>
          <w:sz w:val="24"/>
          <w:szCs w:val="24"/>
          <w:shd w:val="clear" w:color="auto" w:fill="FFFFFF"/>
        </w:rPr>
        <w:t>学院选派专业</w:t>
      </w:r>
      <w:r>
        <w:rPr>
          <w:rFonts w:hint="eastAsia" w:ascii="仿宋_GB2312" w:hAnsi="仿宋_GB2312" w:eastAsia="仿宋_GB2312" w:cs="仿宋_GB2312"/>
          <w:bCs/>
          <w:color w:val="auto"/>
          <w:sz w:val="24"/>
          <w:szCs w:val="24"/>
          <w:shd w:val="clear" w:color="auto" w:fill="FFFFFF"/>
          <w:lang w:val="en-US" w:eastAsia="zh-CN"/>
        </w:rPr>
        <w:t>骨干</w:t>
      </w:r>
      <w:r>
        <w:rPr>
          <w:rFonts w:hint="eastAsia" w:ascii="仿宋_GB2312" w:hAnsi="仿宋_GB2312" w:eastAsia="仿宋_GB2312" w:cs="仿宋_GB2312"/>
          <w:bCs/>
          <w:color w:val="auto"/>
          <w:sz w:val="24"/>
          <w:szCs w:val="24"/>
          <w:shd w:val="clear" w:color="auto" w:fill="FFFFFF"/>
        </w:rPr>
        <w:t>教师到公司挂职锻炼</w:t>
      </w:r>
      <w:bookmarkStart w:id="1" w:name="_GoBack"/>
      <w:bookmarkEnd w:id="1"/>
      <w:r>
        <w:rPr>
          <w:rFonts w:hint="eastAsia" w:ascii="仿宋_GB2312" w:hAnsi="仿宋_GB2312" w:eastAsia="仿宋_GB2312" w:cs="仿宋_GB2312"/>
          <w:bCs/>
          <w:color w:val="auto"/>
          <w:sz w:val="24"/>
          <w:szCs w:val="24"/>
          <w:shd w:val="clear" w:color="auto" w:fill="FFFFFF"/>
        </w:rPr>
        <w:t>，参与企业项目实践，提升教师的实践能力和行业经验；双方共同制定“双师型”教师培养计划，通过企业实践、技能培训等方式，提升学院教师的实践能力和职业素养，打造一支既具备扎实理论基础，又拥有丰富实践经验的“双师型”教师队伍。</w:t>
      </w:r>
    </w:p>
    <w:p w14:paraId="5C084D88">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ind w:firstLine="480" w:firstLineChars="200"/>
        <w:textAlignment w:val="auto"/>
        <w:rPr>
          <w:rFonts w:hint="eastAsia" w:ascii="仿宋_GB2312" w:hAnsi="仿宋_GB2312" w:eastAsia="仿宋_GB2312" w:cs="仿宋_GB2312"/>
          <w:bCs/>
          <w:color w:val="auto"/>
          <w:sz w:val="24"/>
          <w:szCs w:val="24"/>
          <w:shd w:val="clear" w:color="auto" w:fill="FFFFFF"/>
          <w:lang w:eastAsia="zh-CN"/>
        </w:rPr>
      </w:pPr>
      <w:r>
        <w:rPr>
          <w:rFonts w:hint="eastAsia" w:ascii="仿宋_GB2312" w:hAnsi="仿宋_GB2312" w:eastAsia="仿宋_GB2312" w:cs="仿宋_GB2312"/>
          <w:bCs/>
          <w:color w:val="auto"/>
          <w:sz w:val="24"/>
          <w:szCs w:val="24"/>
          <w:shd w:val="clear" w:color="auto" w:fill="FFFFFF"/>
          <w:lang w:eastAsia="zh-CN"/>
        </w:rPr>
        <w:drawing>
          <wp:inline distT="0" distB="0" distL="114300" distR="114300">
            <wp:extent cx="5173980" cy="2329180"/>
            <wp:effectExtent l="0" t="0" r="7620" b="2540"/>
            <wp:docPr id="25" name="图片 25" descr="4b6a17d3927058927cd82e661a61ec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4b6a17d3927058927cd82e661a61ec9"/>
                    <pic:cNvPicPr>
                      <a:picLocks noChangeAspect="1"/>
                    </pic:cNvPicPr>
                  </pic:nvPicPr>
                  <pic:blipFill>
                    <a:blip r:embed="rId17"/>
                    <a:stretch>
                      <a:fillRect/>
                    </a:stretch>
                  </pic:blipFill>
                  <pic:spPr>
                    <a:xfrm>
                      <a:off x="0" y="0"/>
                      <a:ext cx="5173980" cy="2329180"/>
                    </a:xfrm>
                    <a:prstGeom prst="rect">
                      <a:avLst/>
                    </a:prstGeom>
                  </pic:spPr>
                </pic:pic>
              </a:graphicData>
            </a:graphic>
          </wp:inline>
        </w:drawing>
      </w:r>
    </w:p>
    <w:p w14:paraId="2314C663">
      <w:pPr>
        <w:spacing w:line="360" w:lineRule="auto"/>
        <w:ind w:firstLine="480" w:firstLineChars="200"/>
        <w:rPr>
          <w:rFonts w:hint="eastAsia" w:ascii="仿宋_GB2312" w:hAnsi="仿宋_GB2312" w:eastAsia="仿宋_GB2312" w:cs="仿宋_GB2312"/>
          <w:bCs/>
          <w:color w:val="auto"/>
          <w:sz w:val="24"/>
          <w:szCs w:val="24"/>
          <w:shd w:val="clear" w:color="auto" w:fill="FFFFFF"/>
          <w:lang w:eastAsia="zh-CN"/>
        </w:rPr>
      </w:pPr>
      <w:r>
        <w:rPr>
          <w:rFonts w:hint="eastAsia" w:ascii="仿宋_GB2312" w:hAnsi="仿宋_GB2312" w:eastAsia="仿宋_GB2312" w:cs="仿宋_GB2312"/>
          <w:bCs/>
          <w:color w:val="auto"/>
          <w:sz w:val="24"/>
          <w:szCs w:val="24"/>
          <w:shd w:val="clear" w:color="auto" w:fill="FFFFFF"/>
        </w:rPr>
        <w:t>202</w:t>
      </w:r>
      <w:r>
        <w:rPr>
          <w:rFonts w:hint="eastAsia" w:ascii="仿宋_GB2312" w:hAnsi="仿宋_GB2312" w:eastAsia="仿宋_GB2312" w:cs="仿宋_GB2312"/>
          <w:bCs/>
          <w:color w:val="auto"/>
          <w:sz w:val="24"/>
          <w:szCs w:val="24"/>
          <w:shd w:val="clear" w:color="auto" w:fill="FFFFFF"/>
          <w:lang w:val="en-US" w:eastAsia="zh-CN"/>
        </w:rPr>
        <w:t>3</w:t>
      </w:r>
      <w:r>
        <w:rPr>
          <w:rFonts w:hint="eastAsia" w:ascii="仿宋_GB2312" w:hAnsi="仿宋_GB2312" w:eastAsia="仿宋_GB2312" w:cs="仿宋_GB2312"/>
          <w:bCs/>
          <w:color w:val="auto"/>
          <w:sz w:val="24"/>
          <w:szCs w:val="24"/>
          <w:shd w:val="clear" w:color="auto" w:fill="FFFFFF"/>
        </w:rPr>
        <w:t>年</w:t>
      </w:r>
      <w:r>
        <w:rPr>
          <w:rFonts w:hint="eastAsia" w:ascii="仿宋_GB2312" w:hAnsi="仿宋_GB2312" w:eastAsia="仿宋_GB2312" w:cs="仿宋_GB2312"/>
          <w:bCs/>
          <w:color w:val="auto"/>
          <w:sz w:val="24"/>
          <w:szCs w:val="24"/>
          <w:shd w:val="clear" w:color="auto" w:fill="FFFFFF"/>
          <w:lang w:val="en-US" w:eastAsia="zh-CN"/>
        </w:rPr>
        <w:t>12月</w:t>
      </w:r>
      <w:r>
        <w:rPr>
          <w:rFonts w:hint="eastAsia" w:ascii="仿宋_GB2312" w:hAnsi="仿宋_GB2312" w:eastAsia="仿宋_GB2312" w:cs="仿宋_GB2312"/>
          <w:bCs/>
          <w:color w:val="auto"/>
          <w:sz w:val="24"/>
          <w:szCs w:val="24"/>
          <w:shd w:val="clear" w:color="auto" w:fill="FFFFFF"/>
        </w:rPr>
        <w:t>苏州市高等职业教育教师创新团队</w:t>
      </w:r>
      <w:r>
        <w:rPr>
          <w:rFonts w:hint="eastAsia" w:ascii="仿宋_GB2312" w:hAnsi="仿宋_GB2312" w:eastAsia="仿宋_GB2312" w:cs="仿宋_GB2312"/>
          <w:bCs/>
          <w:color w:val="auto"/>
          <w:sz w:val="24"/>
          <w:szCs w:val="24"/>
          <w:shd w:val="clear" w:color="auto" w:fill="FFFFFF"/>
          <w:lang w:eastAsia="zh-CN"/>
        </w:rPr>
        <w:t>（</w:t>
      </w:r>
      <w:r>
        <w:rPr>
          <w:rFonts w:hint="eastAsia" w:ascii="仿宋_GB2312" w:hAnsi="仿宋_GB2312" w:eastAsia="仿宋_GB2312" w:cs="仿宋_GB2312"/>
          <w:bCs/>
          <w:color w:val="auto"/>
          <w:sz w:val="24"/>
          <w:szCs w:val="24"/>
          <w:shd w:val="clear" w:color="auto" w:fill="FFFFFF"/>
        </w:rPr>
        <w:t>环境艺术设计教学创新团队</w:t>
      </w:r>
      <w:r>
        <w:rPr>
          <w:rFonts w:hint="eastAsia" w:ascii="仿宋_GB2312" w:hAnsi="仿宋_GB2312" w:eastAsia="仿宋_GB2312" w:cs="仿宋_GB2312"/>
          <w:bCs/>
          <w:color w:val="auto"/>
          <w:sz w:val="24"/>
          <w:szCs w:val="24"/>
          <w:shd w:val="clear" w:color="auto" w:fill="FFFFFF"/>
          <w:lang w:eastAsia="zh-CN"/>
        </w:rPr>
        <w:t>）</w:t>
      </w:r>
      <w:r>
        <w:rPr>
          <w:rFonts w:hint="eastAsia" w:ascii="仿宋_GB2312" w:hAnsi="仿宋_GB2312" w:eastAsia="仿宋_GB2312" w:cs="仿宋_GB2312"/>
          <w:bCs/>
          <w:color w:val="auto"/>
          <w:sz w:val="24"/>
          <w:szCs w:val="24"/>
          <w:shd w:val="clear" w:color="auto" w:fill="FFFFFF"/>
        </w:rPr>
        <w:t>建设项目验收</w:t>
      </w:r>
      <w:r>
        <w:rPr>
          <w:rFonts w:hint="eastAsia" w:ascii="仿宋_GB2312" w:hAnsi="仿宋_GB2312" w:eastAsia="仿宋_GB2312" w:cs="仿宋_GB2312"/>
          <w:bCs/>
          <w:color w:val="auto"/>
          <w:sz w:val="24"/>
          <w:szCs w:val="24"/>
          <w:shd w:val="clear" w:color="auto" w:fill="FFFFFF"/>
          <w:lang w:eastAsia="zh-CN"/>
        </w:rPr>
        <w:t>，</w:t>
      </w:r>
      <w:r>
        <w:rPr>
          <w:rFonts w:hint="eastAsia" w:ascii="仿宋_GB2312" w:hAnsi="仿宋_GB2312" w:eastAsia="仿宋_GB2312" w:cs="仿宋_GB2312"/>
          <w:bCs/>
          <w:color w:val="auto"/>
          <w:sz w:val="24"/>
          <w:szCs w:val="24"/>
          <w:shd w:val="clear" w:color="auto" w:fill="FFFFFF"/>
          <w:lang w:val="en-US" w:eastAsia="zh-CN"/>
        </w:rPr>
        <w:t>2024年12月，</w:t>
      </w:r>
      <w:r>
        <w:rPr>
          <w:rFonts w:hint="eastAsia" w:ascii="仿宋_GB2312" w:hAnsi="仿宋_GB2312" w:eastAsia="仿宋_GB2312" w:cs="仿宋_GB2312"/>
          <w:bCs/>
          <w:color w:val="auto"/>
          <w:sz w:val="24"/>
          <w:szCs w:val="24"/>
          <w:shd w:val="clear" w:color="auto" w:fill="FFFFFF"/>
          <w:lang w:eastAsia="zh-CN"/>
        </w:rPr>
        <w:t>数字艺术“双师型”名师工作室</w:t>
      </w:r>
      <w:r>
        <w:rPr>
          <w:rFonts w:hint="eastAsia" w:ascii="仿宋_GB2312" w:hAnsi="仿宋_GB2312" w:eastAsia="仿宋_GB2312" w:cs="仿宋_GB2312"/>
          <w:bCs/>
          <w:color w:val="auto"/>
          <w:sz w:val="24"/>
          <w:szCs w:val="24"/>
          <w:shd w:val="clear" w:color="auto" w:fill="FFFFFF"/>
          <w:lang w:val="en-US" w:eastAsia="zh-CN"/>
        </w:rPr>
        <w:t>立项学校</w:t>
      </w:r>
      <w:r>
        <w:rPr>
          <w:rFonts w:hint="eastAsia" w:ascii="仿宋_GB2312" w:hAnsi="仿宋_GB2312" w:eastAsia="仿宋_GB2312" w:cs="仿宋_GB2312"/>
          <w:bCs/>
          <w:color w:val="auto"/>
          <w:sz w:val="24"/>
          <w:szCs w:val="24"/>
          <w:shd w:val="clear" w:color="auto" w:fill="FFFFFF"/>
          <w:lang w:eastAsia="zh-CN"/>
        </w:rPr>
        <w:t>“双师型”教师团队建设项目。</w:t>
      </w:r>
    </w:p>
    <w:p w14:paraId="7E1EB993">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ind w:left="0" w:leftChars="0" w:firstLine="0" w:firstLineChars="0"/>
        <w:jc w:val="center"/>
        <w:textAlignment w:val="auto"/>
        <w:rPr>
          <w:rFonts w:hint="eastAsia" w:ascii="仿宋_GB2312" w:hAnsi="仿宋_GB2312" w:cs="仿宋_GB2312" w:eastAsiaTheme="minorEastAsia"/>
          <w:bCs/>
          <w:color w:val="auto"/>
          <w:sz w:val="24"/>
          <w:szCs w:val="24"/>
          <w:shd w:val="clear" w:color="auto" w:fill="FFFFFF"/>
          <w:lang w:val="en-US" w:eastAsia="zh-CN"/>
        </w:rPr>
      </w:pPr>
      <w:r>
        <w:drawing>
          <wp:inline distT="0" distB="0" distL="114300" distR="114300">
            <wp:extent cx="2774950" cy="1948180"/>
            <wp:effectExtent l="9525" t="9525" r="19685" b="23495"/>
            <wp:docPr id="2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6"/>
                    <pic:cNvPicPr>
                      <a:picLocks noChangeAspect="1"/>
                    </pic:cNvPicPr>
                  </pic:nvPicPr>
                  <pic:blipFill>
                    <a:blip r:embed="rId18"/>
                    <a:stretch>
                      <a:fillRect/>
                    </a:stretch>
                  </pic:blipFill>
                  <pic:spPr>
                    <a:xfrm>
                      <a:off x="0" y="0"/>
                      <a:ext cx="2774950" cy="1948180"/>
                    </a:xfrm>
                    <a:prstGeom prst="rect">
                      <a:avLst/>
                    </a:prstGeom>
                    <a:noFill/>
                    <a:ln>
                      <a:solidFill>
                        <a:schemeClr val="accent5">
                          <a:lumMod val="75000"/>
                        </a:schemeClr>
                      </a:solidFill>
                    </a:ln>
                  </pic:spPr>
                </pic:pic>
              </a:graphicData>
            </a:graphic>
          </wp:inline>
        </w:drawing>
      </w:r>
      <w:r>
        <w:rPr>
          <w:rFonts w:hint="eastAsia"/>
          <w:lang w:val="en-US" w:eastAsia="zh-CN"/>
        </w:rPr>
        <w:t xml:space="preserve">   </w:t>
      </w:r>
      <w:r>
        <w:drawing>
          <wp:inline distT="0" distB="0" distL="114300" distR="114300">
            <wp:extent cx="2245995" cy="1934210"/>
            <wp:effectExtent l="9525" t="9525" r="15240" b="22225"/>
            <wp:docPr id="2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7"/>
                    <pic:cNvPicPr>
                      <a:picLocks noChangeAspect="1"/>
                    </pic:cNvPicPr>
                  </pic:nvPicPr>
                  <pic:blipFill>
                    <a:blip r:embed="rId19"/>
                    <a:stretch>
                      <a:fillRect/>
                    </a:stretch>
                  </pic:blipFill>
                  <pic:spPr>
                    <a:xfrm>
                      <a:off x="0" y="0"/>
                      <a:ext cx="2245995" cy="1934210"/>
                    </a:xfrm>
                    <a:prstGeom prst="rect">
                      <a:avLst/>
                    </a:prstGeom>
                    <a:noFill/>
                    <a:ln>
                      <a:solidFill>
                        <a:schemeClr val="accent5">
                          <a:lumMod val="75000"/>
                        </a:schemeClr>
                      </a:solidFill>
                    </a:ln>
                  </pic:spPr>
                </pic:pic>
              </a:graphicData>
            </a:graphic>
          </wp:inline>
        </w:drawing>
      </w:r>
    </w:p>
    <w:p w14:paraId="206D448D">
      <w:pPr>
        <w:spacing w:line="360" w:lineRule="auto"/>
        <w:ind w:firstLine="480" w:firstLineChars="200"/>
        <w:rPr>
          <w:rFonts w:hint="eastAsia" w:ascii="仿宋_GB2312" w:hAnsi="仿宋_GB2312" w:eastAsia="仿宋_GB2312" w:cs="仿宋_GB2312"/>
          <w:bCs/>
          <w:color w:val="auto"/>
          <w:sz w:val="24"/>
          <w:szCs w:val="24"/>
          <w:shd w:val="clear" w:color="auto" w:fill="FFFFFF"/>
        </w:rPr>
      </w:pPr>
    </w:p>
    <w:p w14:paraId="3346F84F">
      <w:pPr>
        <w:spacing w:line="360" w:lineRule="auto"/>
        <w:ind w:firstLine="480" w:firstLineChars="200"/>
        <w:rPr>
          <w:rFonts w:hint="eastAsia" w:ascii="仿宋_GB2312" w:hAnsi="仿宋_GB2312" w:eastAsia="仿宋_GB2312" w:cs="仿宋_GB2312"/>
          <w:bCs/>
          <w:color w:val="auto"/>
          <w:sz w:val="24"/>
          <w:szCs w:val="24"/>
          <w:shd w:val="clear" w:color="auto" w:fill="FFFFFF"/>
        </w:rPr>
      </w:pPr>
      <w:r>
        <w:rPr>
          <w:rFonts w:hint="eastAsia" w:ascii="仿宋_GB2312" w:hAnsi="仿宋_GB2312" w:eastAsia="仿宋_GB2312" w:cs="仿宋_GB2312"/>
          <w:bCs/>
          <w:color w:val="auto"/>
          <w:sz w:val="24"/>
          <w:szCs w:val="24"/>
          <w:shd w:val="clear" w:color="auto" w:fill="FFFFFF"/>
        </w:rPr>
        <w:t>公司选派资深设计师到学院担任兼职教师，参与</w:t>
      </w:r>
      <w:r>
        <w:rPr>
          <w:rFonts w:hint="eastAsia" w:ascii="仿宋_GB2312" w:hAnsi="仿宋_GB2312" w:eastAsia="仿宋_GB2312" w:cs="仿宋_GB2312"/>
          <w:bCs/>
          <w:color w:val="auto"/>
          <w:sz w:val="24"/>
          <w:szCs w:val="24"/>
          <w:shd w:val="clear" w:color="auto" w:fill="FFFFFF"/>
          <w:lang w:val="en-US" w:eastAsia="zh-CN"/>
        </w:rPr>
        <w:t>线上线下</w:t>
      </w:r>
      <w:r>
        <w:rPr>
          <w:rFonts w:hint="eastAsia" w:ascii="仿宋_GB2312" w:hAnsi="仿宋_GB2312" w:eastAsia="仿宋_GB2312" w:cs="仿宋_GB2312"/>
          <w:bCs/>
          <w:color w:val="auto"/>
          <w:sz w:val="24"/>
          <w:szCs w:val="24"/>
          <w:shd w:val="clear" w:color="auto" w:fill="FFFFFF"/>
        </w:rPr>
        <w:t>课堂教学、</w:t>
      </w:r>
      <w:r>
        <w:rPr>
          <w:rFonts w:hint="eastAsia" w:ascii="仿宋_GB2312" w:hAnsi="仿宋_GB2312" w:eastAsia="仿宋_GB2312" w:cs="仿宋_GB2312"/>
          <w:bCs/>
          <w:color w:val="auto"/>
          <w:sz w:val="24"/>
          <w:szCs w:val="24"/>
          <w:shd w:val="clear" w:color="auto" w:fill="FFFFFF"/>
          <w:lang w:val="en-US" w:eastAsia="zh-CN"/>
        </w:rPr>
        <w:t>项目实训，</w:t>
      </w:r>
      <w:r>
        <w:rPr>
          <w:rFonts w:hint="eastAsia" w:ascii="仿宋_GB2312" w:hAnsi="仿宋_GB2312" w:eastAsia="仿宋_GB2312" w:cs="仿宋_GB2312"/>
          <w:bCs/>
          <w:color w:val="auto"/>
          <w:sz w:val="24"/>
          <w:szCs w:val="24"/>
          <w:shd w:val="clear" w:color="auto" w:fill="FFFFFF"/>
        </w:rPr>
        <w:t>指导学生</w:t>
      </w:r>
      <w:r>
        <w:rPr>
          <w:rFonts w:hint="eastAsia" w:ascii="仿宋_GB2312" w:hAnsi="仿宋_GB2312" w:eastAsia="仿宋_GB2312" w:cs="仿宋_GB2312"/>
          <w:bCs/>
          <w:color w:val="auto"/>
          <w:sz w:val="24"/>
          <w:szCs w:val="24"/>
          <w:shd w:val="clear" w:color="auto" w:fill="FFFFFF"/>
          <w:lang w:val="en-US" w:eastAsia="zh-CN"/>
        </w:rPr>
        <w:t>实习</w:t>
      </w:r>
      <w:r>
        <w:rPr>
          <w:rFonts w:hint="eastAsia" w:ascii="仿宋_GB2312" w:hAnsi="仿宋_GB2312" w:eastAsia="仿宋_GB2312" w:cs="仿宋_GB2312"/>
          <w:bCs/>
          <w:color w:val="auto"/>
          <w:sz w:val="24"/>
          <w:szCs w:val="24"/>
          <w:shd w:val="clear" w:color="auto" w:fill="FFFFFF"/>
        </w:rPr>
        <w:t>，将行业最新技术和发展趋势带入课堂。</w:t>
      </w:r>
    </w:p>
    <w:p w14:paraId="4893397F">
      <w:pPr>
        <w:spacing w:line="360" w:lineRule="auto"/>
        <w:ind w:firstLine="482" w:firstLineChars="200"/>
        <w:rPr>
          <w:rFonts w:ascii="仿宋_GB2312" w:hAnsi="仿宋_GB2312" w:eastAsia="仿宋_GB2312" w:cs="仿宋_GB2312"/>
          <w:b/>
          <w:bCs/>
          <w:color w:val="auto"/>
          <w:sz w:val="24"/>
          <w:szCs w:val="24"/>
          <w:shd w:val="clear" w:color="auto" w:fill="FFFFFF"/>
        </w:rPr>
      </w:pPr>
      <w:r>
        <w:rPr>
          <w:rFonts w:hint="eastAsia" w:ascii="仿宋_GB2312" w:hAnsi="仿宋_GB2312" w:eastAsia="仿宋_GB2312" w:cs="仿宋_GB2312"/>
          <w:b/>
          <w:bCs/>
          <w:color w:val="auto"/>
          <w:sz w:val="24"/>
          <w:szCs w:val="24"/>
          <w:shd w:val="clear" w:color="auto" w:fill="FFFFFF"/>
        </w:rPr>
        <w:t>（五）实训实习建设</w:t>
      </w:r>
    </w:p>
    <w:p w14:paraId="736407B1">
      <w:pPr>
        <w:spacing w:line="360" w:lineRule="auto"/>
        <w:ind w:firstLine="480" w:firstLineChars="200"/>
        <w:rPr>
          <w:rFonts w:hint="eastAsia" w:ascii="仿宋_GB2312" w:hAnsi="仿宋_GB2312" w:eastAsia="仿宋_GB2312" w:cs="仿宋_GB2312"/>
          <w:color w:val="FF0000"/>
          <w:sz w:val="24"/>
          <w:szCs w:val="24"/>
          <w:shd w:val="clear" w:color="auto" w:fill="FFFFFF"/>
        </w:rPr>
      </w:pPr>
      <w:r>
        <w:rPr>
          <w:rFonts w:hint="eastAsia" w:ascii="仿宋_GB2312" w:hAnsi="宋体" w:eastAsia="仿宋_GB2312" w:cs="黑体"/>
          <w:sz w:val="24"/>
        </w:rPr>
        <w:t>企业利用其资源优势，</w:t>
      </w:r>
      <w:r>
        <w:rPr>
          <w:rFonts w:hint="eastAsia" w:ascii="仿宋_GB2312" w:hAnsi="宋体" w:eastAsia="仿宋_GB2312" w:cs="黑体"/>
          <w:sz w:val="24"/>
          <w:lang w:val="en-US" w:eastAsia="zh-CN"/>
        </w:rPr>
        <w:t>校企合作</w:t>
      </w:r>
      <w:r>
        <w:rPr>
          <w:rFonts w:hint="eastAsia" w:ascii="仿宋_GB2312" w:hAnsi="宋体" w:eastAsia="仿宋_GB2312" w:cs="黑体"/>
          <w:sz w:val="24"/>
        </w:rPr>
        <w:t>打造校外实训</w:t>
      </w:r>
      <w:r>
        <w:rPr>
          <w:rFonts w:ascii="仿宋_GB2312" w:hAnsi="宋体" w:eastAsia="仿宋_GB2312" w:cs="黑体"/>
          <w:sz w:val="24"/>
        </w:rPr>
        <w:t>基地</w:t>
      </w:r>
      <w:r>
        <w:rPr>
          <w:rFonts w:hint="eastAsia" w:ascii="仿宋_GB2312" w:hAnsi="宋体" w:eastAsia="仿宋_GB2312" w:cs="黑体"/>
          <w:sz w:val="24"/>
        </w:rPr>
        <w:t>，既弥补校内教学资源的不足，又满足专业学生的课程实训和专业实习需求，极大提高了社会资源的利用率，实现多赢效果。校外实习基地为学生提供实习岗位和项目实践机会，帮助学生将理论知识应用于实践，提升学生的职业技能和就业竞争力</w:t>
      </w:r>
      <w:r>
        <w:rPr>
          <w:rFonts w:hint="eastAsia" w:ascii="仿宋_GB2312" w:hAnsi="宋体" w:eastAsia="仿宋_GB2312" w:cs="黑体"/>
          <w:sz w:val="24"/>
          <w:lang w:eastAsia="zh-CN"/>
        </w:rPr>
        <w:t>，</w:t>
      </w:r>
      <w:r>
        <w:rPr>
          <w:rFonts w:hint="eastAsia" w:ascii="仿宋_GB2312" w:hAnsi="宋体" w:eastAsia="仿宋_GB2312" w:cs="黑体"/>
          <w:sz w:val="24"/>
        </w:rPr>
        <w:t>双方共同投资建设校内实训室，模拟企业真实工作环境，为学生提供实践操作平台，提升学生的实践能力和职业素养</w:t>
      </w:r>
      <w:r>
        <w:rPr>
          <w:rFonts w:hint="eastAsia" w:ascii="仿宋_GB2312" w:hAnsi="宋体" w:eastAsia="仿宋_GB2312" w:cs="黑体"/>
          <w:sz w:val="24"/>
          <w:lang w:eastAsia="zh-CN"/>
        </w:rPr>
        <w:t>，</w:t>
      </w:r>
      <w:r>
        <w:rPr>
          <w:rFonts w:hint="eastAsia" w:ascii="仿宋_GB2312" w:hAnsi="宋体" w:eastAsia="仿宋_GB2312" w:cs="黑体"/>
          <w:sz w:val="24"/>
        </w:rPr>
        <w:t>举办</w:t>
      </w:r>
      <w:r>
        <w:rPr>
          <w:rFonts w:hint="eastAsia" w:ascii="仿宋_GB2312" w:hAnsi="宋体" w:eastAsia="仿宋_GB2312" w:cs="黑体"/>
          <w:sz w:val="24"/>
          <w:lang w:val="en-US" w:eastAsia="zh-CN"/>
        </w:rPr>
        <w:t>校内</w:t>
      </w:r>
      <w:r>
        <w:rPr>
          <w:rFonts w:hint="eastAsia" w:ascii="仿宋_GB2312" w:hAnsi="宋体" w:eastAsia="仿宋_GB2312" w:cs="黑体"/>
          <w:sz w:val="24"/>
        </w:rPr>
        <w:t>技能竞赛，以赛促学、以赛促教，激发学生的学习兴趣和创新意识，提升学生的专业技能和团队协作能力。</w:t>
      </w:r>
    </w:p>
    <w:p w14:paraId="54AE0442">
      <w:pPr>
        <w:spacing w:before="156" w:beforeLines="50" w:after="156" w:afterLines="50" w:line="360" w:lineRule="auto"/>
        <w:ind w:firstLine="562" w:firstLineChars="200"/>
        <w:rPr>
          <w:rFonts w:ascii="黑体" w:hAnsi="黑体" w:eastAsia="黑体" w:cs="黑体"/>
          <w:b/>
          <w:color w:val="auto"/>
          <w:sz w:val="28"/>
          <w:szCs w:val="28"/>
        </w:rPr>
      </w:pPr>
      <w:r>
        <w:rPr>
          <w:rFonts w:hint="eastAsia" w:ascii="黑体" w:hAnsi="黑体" w:eastAsia="黑体" w:cs="黑体"/>
          <w:b/>
          <w:color w:val="auto"/>
          <w:sz w:val="28"/>
          <w:szCs w:val="28"/>
        </w:rPr>
        <w:t>五、助力合作院校人才输出等方面的做法、成效和问题</w:t>
      </w:r>
    </w:p>
    <w:p w14:paraId="691A58D3">
      <w:pPr>
        <w:keepNext w:val="0"/>
        <w:keepLines w:val="0"/>
        <w:pageBreakBefore w:val="0"/>
        <w:widowControl w:val="0"/>
        <w:kinsoku/>
        <w:wordWrap/>
        <w:overflowPunct/>
        <w:topLinePunct w:val="0"/>
        <w:autoSpaceDE/>
        <w:autoSpaceDN/>
        <w:bidi w:val="0"/>
        <w:adjustRightInd/>
        <w:snapToGrid/>
        <w:spacing w:before="156" w:beforeLines="50" w:line="360" w:lineRule="auto"/>
        <w:ind w:firstLine="480" w:firstLineChars="200"/>
        <w:textAlignment w:val="auto"/>
        <w:rPr>
          <w:rFonts w:hint="eastAsia" w:ascii="仿宋_GB2312" w:hAnsi="仿宋_GB2312" w:eastAsia="仿宋_GB2312" w:cs="仿宋_GB2312"/>
          <w:color w:val="auto"/>
          <w:sz w:val="24"/>
          <w:szCs w:val="24"/>
          <w:shd w:val="clear" w:color="auto" w:fill="FFFFFF"/>
        </w:rPr>
      </w:pPr>
      <w:r>
        <w:rPr>
          <w:rFonts w:hint="eastAsia" w:ascii="仿宋_GB2312" w:hAnsi="仿宋_GB2312" w:eastAsia="仿宋_GB2312" w:cs="仿宋_GB2312"/>
          <w:color w:val="auto"/>
          <w:sz w:val="24"/>
          <w:szCs w:val="24"/>
          <w:shd w:val="clear" w:color="auto" w:fill="FFFFFF"/>
        </w:rPr>
        <w:t>助力合作院校人才输出，</w:t>
      </w:r>
      <w:r>
        <w:rPr>
          <w:rFonts w:hint="eastAsia" w:ascii="仿宋_GB2312" w:hAnsi="仿宋_GB2312" w:eastAsia="仿宋_GB2312" w:cs="仿宋_GB2312"/>
          <w:color w:val="auto"/>
          <w:sz w:val="24"/>
          <w:szCs w:val="24"/>
          <w:shd w:val="clear" w:color="auto" w:fill="FFFFFF"/>
          <w:lang w:val="en-US" w:eastAsia="zh-CN"/>
        </w:rPr>
        <w:t>校企合作通过</w:t>
      </w:r>
      <w:r>
        <w:rPr>
          <w:rFonts w:hint="eastAsia" w:ascii="仿宋_GB2312" w:hAnsi="仿宋_GB2312" w:eastAsia="仿宋_GB2312" w:cs="仿宋_GB2312"/>
          <w:color w:val="auto"/>
          <w:sz w:val="24"/>
          <w:szCs w:val="24"/>
          <w:shd w:val="clear" w:color="auto" w:fill="FFFFFF"/>
        </w:rPr>
        <w:t>深化产教融合、不断创新人才培养模式，完善评价体系，努力打造校企合作命运共同体，为区域经济社会发展培养更多高素质技术技能人才</w:t>
      </w:r>
      <w:r>
        <w:rPr>
          <w:rFonts w:hint="eastAsia" w:ascii="仿宋_GB2312" w:hAnsi="仿宋_GB2312" w:eastAsia="仿宋_GB2312" w:cs="仿宋_GB2312"/>
          <w:color w:val="auto"/>
          <w:sz w:val="24"/>
          <w:szCs w:val="24"/>
          <w:shd w:val="clear" w:color="auto" w:fill="FFFFFF"/>
          <w:lang w:eastAsia="zh-CN"/>
        </w:rPr>
        <w:t>。</w:t>
      </w:r>
      <w:r>
        <w:rPr>
          <w:rFonts w:hint="eastAsia" w:ascii="仿宋_GB2312" w:hAnsi="仿宋_GB2312" w:eastAsia="仿宋_GB2312" w:cs="仿宋_GB2312"/>
          <w:color w:val="auto"/>
          <w:sz w:val="24"/>
          <w:szCs w:val="24"/>
          <w:shd w:val="clear" w:color="auto" w:fill="FFFFFF"/>
        </w:rPr>
        <w:t>旨在提升合作院校的</w:t>
      </w:r>
      <w:r>
        <w:rPr>
          <w:rFonts w:hint="eastAsia" w:ascii="仿宋_GB2312" w:hAnsi="仿宋_GB2312" w:eastAsia="仿宋_GB2312" w:cs="仿宋_GB2312"/>
          <w:color w:val="auto"/>
          <w:sz w:val="24"/>
          <w:szCs w:val="24"/>
          <w:shd w:val="clear" w:color="auto" w:fill="FFFFFF"/>
          <w:lang w:val="en-US" w:eastAsia="zh-CN"/>
        </w:rPr>
        <w:t>专业</w:t>
      </w:r>
      <w:r>
        <w:rPr>
          <w:rFonts w:hint="eastAsia" w:ascii="仿宋_GB2312" w:hAnsi="仿宋_GB2312" w:eastAsia="仿宋_GB2312" w:cs="仿宋_GB2312"/>
          <w:color w:val="auto"/>
          <w:sz w:val="24"/>
          <w:szCs w:val="24"/>
          <w:shd w:val="clear" w:color="auto" w:fill="FFFFFF"/>
        </w:rPr>
        <w:t>教育质量、增强学生的</w:t>
      </w:r>
      <w:r>
        <w:rPr>
          <w:rFonts w:hint="eastAsia" w:ascii="仿宋_GB2312" w:hAnsi="仿宋_GB2312" w:eastAsia="仿宋_GB2312" w:cs="仿宋_GB2312"/>
          <w:color w:val="auto"/>
          <w:sz w:val="24"/>
          <w:szCs w:val="24"/>
          <w:shd w:val="clear" w:color="auto" w:fill="FFFFFF"/>
          <w:lang w:val="en-US" w:eastAsia="zh-CN"/>
        </w:rPr>
        <w:t>专业</w:t>
      </w:r>
      <w:r>
        <w:rPr>
          <w:rFonts w:hint="eastAsia" w:ascii="仿宋_GB2312" w:hAnsi="仿宋_GB2312" w:eastAsia="仿宋_GB2312" w:cs="仿宋_GB2312"/>
          <w:color w:val="auto"/>
          <w:sz w:val="24"/>
          <w:szCs w:val="24"/>
          <w:shd w:val="clear" w:color="auto" w:fill="FFFFFF"/>
        </w:rPr>
        <w:t>就业竞争力，具体的做法</w:t>
      </w:r>
      <w:r>
        <w:rPr>
          <w:rFonts w:hint="eastAsia" w:ascii="仿宋_GB2312" w:hAnsi="仿宋_GB2312" w:eastAsia="仿宋_GB2312" w:cs="仿宋_GB2312"/>
          <w:color w:val="auto"/>
          <w:sz w:val="24"/>
          <w:szCs w:val="24"/>
          <w:shd w:val="clear" w:color="auto" w:fill="FFFFFF"/>
          <w:lang w:val="en-US" w:eastAsia="zh-CN"/>
        </w:rPr>
        <w:t>如下</w:t>
      </w:r>
      <w:r>
        <w:rPr>
          <w:rFonts w:hint="eastAsia" w:ascii="仿宋_GB2312" w:hAnsi="仿宋_GB2312" w:eastAsia="仿宋_GB2312" w:cs="仿宋_GB2312"/>
          <w:color w:val="auto"/>
          <w:sz w:val="24"/>
          <w:szCs w:val="24"/>
          <w:shd w:val="clear" w:color="auto" w:fill="FFFFFF"/>
        </w:rPr>
        <w:t>：</w:t>
      </w:r>
    </w:p>
    <w:p w14:paraId="06314489">
      <w:pPr>
        <w:spacing w:line="360" w:lineRule="auto"/>
        <w:ind w:firstLine="480" w:firstLineChars="200"/>
        <w:rPr>
          <w:rFonts w:hint="eastAsia" w:ascii="仿宋_GB2312" w:hAnsi="仿宋_GB2312" w:eastAsia="仿宋_GB2312" w:cs="仿宋_GB2312"/>
          <w:color w:val="auto"/>
          <w:sz w:val="24"/>
          <w:szCs w:val="24"/>
          <w:shd w:val="clear" w:color="auto" w:fill="FFFFFF"/>
        </w:rPr>
      </w:pPr>
      <w:r>
        <w:rPr>
          <w:rFonts w:hint="eastAsia" w:ascii="仿宋_GB2312" w:hAnsi="仿宋_GB2312" w:eastAsia="仿宋_GB2312" w:cs="仿宋_GB2312"/>
          <w:color w:val="auto"/>
          <w:sz w:val="24"/>
          <w:szCs w:val="24"/>
          <w:shd w:val="clear" w:color="auto" w:fill="FFFFFF"/>
        </w:rPr>
        <w:t>1.深化产教融合，共建人才培养体系</w:t>
      </w:r>
    </w:p>
    <w:p w14:paraId="368D119D">
      <w:pPr>
        <w:spacing w:line="360" w:lineRule="auto"/>
        <w:ind w:firstLine="480" w:firstLineChars="200"/>
        <w:rPr>
          <w:rFonts w:hint="eastAsia" w:ascii="仿宋_GB2312" w:hAnsi="仿宋_GB2312" w:eastAsia="仿宋_GB2312" w:cs="仿宋_GB2312"/>
          <w:color w:val="auto"/>
          <w:sz w:val="24"/>
          <w:szCs w:val="24"/>
          <w:shd w:val="clear" w:color="auto" w:fill="FFFFFF"/>
        </w:rPr>
      </w:pPr>
      <w:r>
        <w:rPr>
          <w:rFonts w:hint="eastAsia" w:ascii="仿宋_GB2312" w:hAnsi="仿宋_GB2312" w:eastAsia="仿宋_GB2312" w:cs="仿宋_GB2312"/>
          <w:color w:val="auto"/>
          <w:sz w:val="24"/>
          <w:szCs w:val="24"/>
          <w:shd w:val="clear" w:color="auto" w:fill="FFFFFF"/>
        </w:rPr>
        <w:t>与企业合作</w:t>
      </w:r>
      <w:r>
        <w:rPr>
          <w:rFonts w:hint="eastAsia" w:ascii="仿宋_GB2312" w:hAnsi="仿宋_GB2312" w:eastAsia="仿宋_GB2312" w:cs="仿宋_GB2312"/>
          <w:color w:val="auto"/>
          <w:sz w:val="24"/>
          <w:szCs w:val="24"/>
          <w:shd w:val="clear" w:color="auto" w:fill="FFFFFF"/>
          <w:lang w:val="en-US" w:eastAsia="zh-CN"/>
        </w:rPr>
        <w:t>签到校企合作协议，</w:t>
      </w:r>
      <w:r>
        <w:rPr>
          <w:rFonts w:hint="eastAsia" w:ascii="仿宋_GB2312" w:hAnsi="仿宋_GB2312" w:eastAsia="仿宋_GB2312" w:cs="仿宋_GB2312"/>
          <w:color w:val="auto"/>
          <w:sz w:val="24"/>
          <w:szCs w:val="24"/>
          <w:shd w:val="clear" w:color="auto" w:fill="FFFFFF"/>
        </w:rPr>
        <w:t>共建特色专业，共同制定人才培养方案，开发课程教材，将企业真实项目、案例融入教学内容</w:t>
      </w:r>
      <w:r>
        <w:rPr>
          <w:rFonts w:hint="eastAsia" w:ascii="仿宋_GB2312" w:hAnsi="仿宋_GB2312" w:eastAsia="仿宋_GB2312" w:cs="仿宋_GB2312"/>
          <w:color w:val="auto"/>
          <w:sz w:val="24"/>
          <w:szCs w:val="24"/>
          <w:shd w:val="clear" w:color="auto" w:fill="FFFFFF"/>
          <w:lang w:eastAsia="zh-CN"/>
        </w:rPr>
        <w:t>，</w:t>
      </w:r>
      <w:r>
        <w:rPr>
          <w:rFonts w:hint="eastAsia" w:ascii="仿宋_GB2312" w:hAnsi="仿宋_GB2312" w:eastAsia="仿宋_GB2312" w:cs="仿宋_GB2312"/>
          <w:color w:val="auto"/>
          <w:sz w:val="24"/>
          <w:szCs w:val="24"/>
          <w:shd w:val="clear" w:color="auto" w:fill="FFFFFF"/>
          <w:lang w:val="en-US" w:eastAsia="zh-CN"/>
        </w:rPr>
        <w:t>每年举行专业建设指导委员会专题会议，</w:t>
      </w:r>
      <w:r>
        <w:rPr>
          <w:rFonts w:hint="eastAsia" w:ascii="仿宋_GB2312" w:hAnsi="仿宋_GB2312" w:eastAsia="仿宋_GB2312" w:cs="仿宋_GB2312"/>
          <w:color w:val="auto"/>
          <w:sz w:val="24"/>
          <w:szCs w:val="24"/>
          <w:shd w:val="clear" w:color="auto" w:fill="FFFFFF"/>
        </w:rPr>
        <w:t>推行“订单式培养”等人才培养模式，实现校企双主体育人。</w:t>
      </w:r>
    </w:p>
    <w:p w14:paraId="6ACE3A76">
      <w:pPr>
        <w:spacing w:line="360" w:lineRule="auto"/>
        <w:ind w:firstLine="480" w:firstLineChars="200"/>
        <w:rPr>
          <w:rFonts w:hint="eastAsia" w:ascii="仿宋_GB2312" w:hAnsi="仿宋_GB2312" w:eastAsia="仿宋_GB2312" w:cs="仿宋_GB2312"/>
          <w:color w:val="auto"/>
          <w:sz w:val="24"/>
          <w:szCs w:val="24"/>
          <w:shd w:val="clear" w:color="auto" w:fill="FFFFFF"/>
        </w:rPr>
      </w:pPr>
      <w:r>
        <w:rPr>
          <w:rFonts w:hint="eastAsia" w:ascii="仿宋_GB2312" w:hAnsi="仿宋_GB2312" w:eastAsia="仿宋_GB2312" w:cs="仿宋_GB2312"/>
          <w:color w:val="auto"/>
          <w:sz w:val="24"/>
          <w:szCs w:val="24"/>
          <w:shd w:val="clear" w:color="auto" w:fill="FFFFFF"/>
        </w:rPr>
        <w:t>2.加强师资队伍建设，提升人才培养质量</w:t>
      </w:r>
    </w:p>
    <w:p w14:paraId="7239BE62">
      <w:pPr>
        <w:spacing w:line="360" w:lineRule="auto"/>
        <w:ind w:firstLine="480" w:firstLineChars="200"/>
        <w:rPr>
          <w:rFonts w:hint="eastAsia" w:ascii="仿宋_GB2312" w:hAnsi="仿宋_GB2312" w:eastAsia="仿宋_GB2312" w:cs="仿宋_GB2312"/>
          <w:color w:val="auto"/>
          <w:sz w:val="24"/>
          <w:szCs w:val="24"/>
          <w:shd w:val="clear" w:color="auto" w:fill="FFFFFF"/>
        </w:rPr>
      </w:pPr>
      <w:r>
        <w:rPr>
          <w:rFonts w:hint="eastAsia" w:ascii="仿宋_GB2312" w:hAnsi="仿宋_GB2312" w:eastAsia="仿宋_GB2312" w:cs="仿宋_GB2312"/>
          <w:color w:val="auto"/>
          <w:sz w:val="24"/>
          <w:szCs w:val="24"/>
          <w:shd w:val="clear" w:color="auto" w:fill="FFFFFF"/>
        </w:rPr>
        <w:t>选派</w:t>
      </w:r>
      <w:r>
        <w:rPr>
          <w:rFonts w:hint="eastAsia" w:ascii="仿宋_GB2312" w:hAnsi="仿宋_GB2312" w:eastAsia="仿宋_GB2312" w:cs="仿宋_GB2312"/>
          <w:color w:val="auto"/>
          <w:sz w:val="24"/>
          <w:szCs w:val="24"/>
          <w:shd w:val="clear" w:color="auto" w:fill="FFFFFF"/>
          <w:lang w:val="en-US" w:eastAsia="zh-CN"/>
        </w:rPr>
        <w:t>专业骨干</w:t>
      </w:r>
      <w:r>
        <w:rPr>
          <w:rFonts w:hint="eastAsia" w:ascii="仿宋_GB2312" w:hAnsi="仿宋_GB2312" w:eastAsia="仿宋_GB2312" w:cs="仿宋_GB2312"/>
          <w:color w:val="auto"/>
          <w:sz w:val="24"/>
          <w:szCs w:val="24"/>
          <w:shd w:val="clear" w:color="auto" w:fill="FFFFFF"/>
        </w:rPr>
        <w:t>教师到企业挂职锻炼，参与企业项目实践，提升教师实践能力和技术水平</w:t>
      </w:r>
      <w:r>
        <w:rPr>
          <w:rFonts w:hint="eastAsia" w:ascii="仿宋_GB2312" w:hAnsi="仿宋_GB2312" w:eastAsia="仿宋_GB2312" w:cs="仿宋_GB2312"/>
          <w:color w:val="auto"/>
          <w:sz w:val="24"/>
          <w:szCs w:val="24"/>
          <w:shd w:val="clear" w:color="auto" w:fill="FFFFFF"/>
          <w:lang w:eastAsia="zh-CN"/>
        </w:rPr>
        <w:t>，</w:t>
      </w:r>
      <w:r>
        <w:rPr>
          <w:rFonts w:hint="eastAsia" w:ascii="仿宋_GB2312" w:hAnsi="仿宋_GB2312" w:eastAsia="仿宋_GB2312" w:cs="仿宋_GB2312"/>
          <w:color w:val="auto"/>
          <w:sz w:val="24"/>
          <w:szCs w:val="24"/>
          <w:shd w:val="clear" w:color="auto" w:fill="FFFFFF"/>
        </w:rPr>
        <w:t>聘请企业专家、技术骨干担任兼职教师，参与课程教学和实训指导，组建“双师型”教学团队。</w:t>
      </w:r>
    </w:p>
    <w:p w14:paraId="0D5AB60F">
      <w:pPr>
        <w:spacing w:line="360" w:lineRule="auto"/>
        <w:ind w:firstLine="480" w:firstLineChars="200"/>
        <w:rPr>
          <w:rFonts w:hint="eastAsia" w:ascii="仿宋_GB2312" w:hAnsi="仿宋_GB2312" w:eastAsia="仿宋_GB2312" w:cs="仿宋_GB2312"/>
          <w:color w:val="auto"/>
          <w:sz w:val="24"/>
          <w:szCs w:val="24"/>
          <w:shd w:val="clear" w:color="auto" w:fill="FFFFFF"/>
        </w:rPr>
      </w:pPr>
      <w:r>
        <w:rPr>
          <w:rFonts w:hint="eastAsia" w:ascii="仿宋_GB2312" w:hAnsi="仿宋_GB2312" w:eastAsia="仿宋_GB2312" w:cs="仿宋_GB2312"/>
          <w:color w:val="auto"/>
          <w:sz w:val="24"/>
          <w:szCs w:val="24"/>
          <w:shd w:val="clear" w:color="auto" w:fill="FFFFFF"/>
        </w:rPr>
        <w:t>3.</w:t>
      </w:r>
      <w:r>
        <w:rPr>
          <w:rFonts w:hint="eastAsia" w:ascii="仿宋_GB2312" w:hAnsi="仿宋_GB2312" w:eastAsia="仿宋_GB2312" w:cs="仿宋_GB2312"/>
          <w:color w:val="auto"/>
          <w:sz w:val="24"/>
          <w:szCs w:val="24"/>
          <w:shd w:val="clear" w:color="auto" w:fill="FFFFFF"/>
          <w:lang w:val="en-US" w:eastAsia="zh-CN"/>
        </w:rPr>
        <w:t>搭建校企合作平台，促进资源共享</w:t>
      </w:r>
    </w:p>
    <w:p w14:paraId="61558C82">
      <w:pPr>
        <w:spacing w:line="360" w:lineRule="auto"/>
        <w:ind w:firstLine="480" w:firstLineChars="200"/>
        <w:rPr>
          <w:rFonts w:hint="eastAsia" w:ascii="仿宋_GB2312" w:hAnsi="仿宋_GB2312" w:eastAsia="仿宋_GB2312" w:cs="仿宋_GB2312"/>
          <w:color w:val="auto"/>
          <w:sz w:val="24"/>
          <w:szCs w:val="24"/>
          <w:shd w:val="clear" w:color="auto" w:fill="FFFFFF"/>
          <w:lang w:val="en-US" w:eastAsia="zh-CN"/>
        </w:rPr>
      </w:pPr>
      <w:r>
        <w:rPr>
          <w:rFonts w:hint="eastAsia" w:ascii="仿宋_GB2312" w:hAnsi="仿宋_GB2312" w:eastAsia="仿宋_GB2312" w:cs="仿宋_GB2312"/>
          <w:color w:val="auto"/>
          <w:sz w:val="24"/>
          <w:szCs w:val="24"/>
          <w:shd w:val="clear" w:color="auto" w:fill="FFFFFF"/>
          <w:lang w:val="en-US" w:eastAsia="zh-CN"/>
        </w:rPr>
        <w:t>搭建校企合作信息平台，促进校企之间信息互通、资源共享，举办校企合作对接会等活动，为校企双方提供面对面交流的机会。</w:t>
      </w:r>
    </w:p>
    <w:p w14:paraId="53A3E8CC">
      <w:pPr>
        <w:spacing w:line="360" w:lineRule="auto"/>
        <w:ind w:firstLine="480" w:firstLineChars="200"/>
        <w:rPr>
          <w:rFonts w:hint="eastAsia" w:ascii="仿宋_GB2312" w:hAnsi="仿宋_GB2312" w:eastAsia="仿宋_GB2312" w:cs="仿宋_GB2312"/>
          <w:color w:val="auto"/>
          <w:sz w:val="24"/>
          <w:szCs w:val="24"/>
          <w:shd w:val="clear" w:color="auto" w:fill="FFFFFF"/>
        </w:rPr>
      </w:pPr>
      <w:r>
        <w:rPr>
          <w:rFonts w:hint="eastAsia" w:ascii="仿宋_GB2312" w:hAnsi="仿宋_GB2312" w:eastAsia="仿宋_GB2312" w:cs="仿宋_GB2312"/>
          <w:color w:val="auto"/>
          <w:sz w:val="24"/>
          <w:szCs w:val="24"/>
          <w:shd w:val="clear" w:color="auto" w:fill="FFFFFF"/>
          <w:lang w:val="en-US" w:eastAsia="zh-CN"/>
        </w:rPr>
        <w:t>4</w:t>
      </w:r>
      <w:r>
        <w:rPr>
          <w:rFonts w:hint="eastAsia" w:ascii="仿宋_GB2312" w:hAnsi="仿宋_GB2312" w:eastAsia="仿宋_GB2312" w:cs="仿宋_GB2312"/>
          <w:color w:val="auto"/>
          <w:sz w:val="24"/>
          <w:szCs w:val="24"/>
          <w:shd w:val="clear" w:color="auto" w:fill="FFFFFF"/>
        </w:rPr>
        <w:t>.拓展就业渠道，促进人才精准对接</w:t>
      </w:r>
    </w:p>
    <w:p w14:paraId="10386CD6">
      <w:pPr>
        <w:spacing w:line="360" w:lineRule="auto"/>
        <w:ind w:firstLine="480" w:firstLineChars="200"/>
        <w:rPr>
          <w:rFonts w:hint="default" w:ascii="仿宋_GB2312" w:hAnsi="仿宋_GB2312" w:eastAsia="仿宋_GB2312" w:cs="仿宋_GB2312"/>
          <w:color w:val="auto"/>
          <w:sz w:val="24"/>
          <w:szCs w:val="24"/>
          <w:shd w:val="clear" w:color="auto" w:fill="FFFFFF"/>
          <w:lang w:val="en-US" w:eastAsia="zh-CN"/>
        </w:rPr>
      </w:pPr>
      <w:r>
        <w:rPr>
          <w:rFonts w:hint="eastAsia" w:ascii="仿宋_GB2312" w:hAnsi="仿宋_GB2312" w:eastAsia="仿宋_GB2312" w:cs="仿宋_GB2312"/>
          <w:color w:val="auto"/>
          <w:sz w:val="24"/>
          <w:szCs w:val="24"/>
          <w:shd w:val="clear" w:color="auto" w:fill="FFFFFF"/>
          <w:lang w:val="en-US" w:eastAsia="zh-CN"/>
        </w:rPr>
        <w:t>企业建立长期稳定的就业合作关系，定期举办校园招聘会、企业宣讲会等活动，为学生提供丰富的就业机会，当前可以借用大数据，为毕业生搭建精准就业服务，实现人才供需精准对接。</w:t>
      </w:r>
    </w:p>
    <w:p w14:paraId="3B3333DB">
      <w:pPr>
        <w:spacing w:line="360" w:lineRule="auto"/>
        <w:ind w:firstLine="480" w:firstLineChars="200"/>
        <w:rPr>
          <w:rFonts w:hint="eastAsia" w:ascii="仿宋_GB2312" w:hAnsi="仿宋_GB2312" w:eastAsia="仿宋_GB2312" w:cs="仿宋_GB2312"/>
          <w:color w:val="auto"/>
          <w:sz w:val="24"/>
          <w:szCs w:val="24"/>
          <w:shd w:val="clear" w:color="auto" w:fill="FFFFFF"/>
        </w:rPr>
      </w:pPr>
      <w:r>
        <w:rPr>
          <w:rFonts w:hint="eastAsia" w:ascii="仿宋_GB2312" w:hAnsi="仿宋_GB2312" w:eastAsia="仿宋_GB2312" w:cs="仿宋_GB2312"/>
          <w:color w:val="auto"/>
          <w:sz w:val="24"/>
          <w:szCs w:val="24"/>
          <w:shd w:val="clear" w:color="auto" w:fill="FFFFFF"/>
          <w:lang w:val="en-US" w:eastAsia="zh-CN"/>
        </w:rPr>
        <w:t>5</w:t>
      </w:r>
      <w:r>
        <w:rPr>
          <w:rFonts w:hint="eastAsia" w:ascii="仿宋_GB2312" w:hAnsi="仿宋_GB2312" w:eastAsia="仿宋_GB2312" w:cs="仿宋_GB2312"/>
          <w:color w:val="auto"/>
          <w:sz w:val="24"/>
          <w:szCs w:val="24"/>
          <w:shd w:val="clear" w:color="auto" w:fill="FFFFFF"/>
        </w:rPr>
        <w:t>.</w:t>
      </w:r>
      <w:r>
        <w:rPr>
          <w:rFonts w:hint="eastAsia" w:ascii="仿宋_GB2312" w:hAnsi="仿宋_GB2312" w:eastAsia="仿宋_GB2312" w:cs="仿宋_GB2312"/>
          <w:color w:val="auto"/>
          <w:sz w:val="24"/>
          <w:szCs w:val="24"/>
          <w:shd w:val="clear" w:color="auto" w:fill="FFFFFF"/>
          <w:lang w:val="en-US" w:eastAsia="zh-CN"/>
        </w:rPr>
        <w:t>建立</w:t>
      </w:r>
      <w:r>
        <w:rPr>
          <w:rFonts w:hint="eastAsia" w:ascii="仿宋_GB2312" w:hAnsi="仿宋_GB2312" w:eastAsia="仿宋_GB2312" w:cs="仿宋_GB2312"/>
          <w:color w:val="auto"/>
          <w:sz w:val="24"/>
          <w:szCs w:val="24"/>
          <w:shd w:val="clear" w:color="auto" w:fill="FFFFFF"/>
        </w:rPr>
        <w:t>企业导师</w:t>
      </w:r>
      <w:r>
        <w:rPr>
          <w:rFonts w:hint="eastAsia" w:ascii="仿宋_GB2312" w:hAnsi="仿宋_GB2312" w:eastAsia="仿宋_GB2312" w:cs="仿宋_GB2312"/>
          <w:color w:val="auto"/>
          <w:sz w:val="24"/>
          <w:szCs w:val="24"/>
          <w:shd w:val="clear" w:color="auto" w:fill="FFFFFF"/>
          <w:lang w:val="en-US" w:eastAsia="zh-CN"/>
        </w:rPr>
        <w:t>制度</w:t>
      </w:r>
    </w:p>
    <w:p w14:paraId="4431E370">
      <w:pPr>
        <w:spacing w:line="360" w:lineRule="auto"/>
        <w:ind w:firstLine="480" w:firstLineChars="200"/>
        <w:rPr>
          <w:rFonts w:hint="eastAsia" w:ascii="仿宋_GB2312" w:hAnsi="仿宋_GB2312" w:eastAsia="仿宋_GB2312" w:cs="仿宋_GB2312"/>
          <w:color w:val="auto"/>
          <w:sz w:val="24"/>
          <w:szCs w:val="24"/>
          <w:shd w:val="clear" w:color="auto" w:fill="FFFFFF"/>
        </w:rPr>
      </w:pPr>
      <w:r>
        <w:rPr>
          <w:rFonts w:hint="eastAsia" w:ascii="仿宋_GB2312" w:hAnsi="仿宋_GB2312" w:eastAsia="仿宋_GB2312" w:cs="仿宋_GB2312"/>
          <w:color w:val="auto"/>
          <w:sz w:val="24"/>
          <w:szCs w:val="24"/>
          <w:shd w:val="clear" w:color="auto" w:fill="FFFFFF"/>
          <w:lang w:val="en-US" w:eastAsia="zh-CN"/>
        </w:rPr>
        <w:t>建立</w:t>
      </w:r>
      <w:r>
        <w:rPr>
          <w:rFonts w:hint="eastAsia" w:ascii="仿宋_GB2312" w:hAnsi="仿宋_GB2312" w:eastAsia="仿宋_GB2312" w:cs="仿宋_GB2312"/>
          <w:color w:val="auto"/>
          <w:sz w:val="24"/>
          <w:szCs w:val="24"/>
          <w:shd w:val="clear" w:color="auto" w:fill="FFFFFF"/>
        </w:rPr>
        <w:t>企业导师制度，由</w:t>
      </w:r>
      <w:r>
        <w:rPr>
          <w:rFonts w:hint="eastAsia" w:ascii="仿宋_GB2312" w:hAnsi="仿宋_GB2312" w:eastAsia="仿宋_GB2312" w:cs="仿宋_GB2312"/>
          <w:color w:val="auto"/>
          <w:sz w:val="24"/>
          <w:szCs w:val="24"/>
          <w:shd w:val="clear" w:color="auto" w:fill="FFFFFF"/>
          <w:lang w:val="en-US" w:eastAsia="zh-CN"/>
        </w:rPr>
        <w:t>企业</w:t>
      </w:r>
      <w:r>
        <w:rPr>
          <w:rFonts w:hint="eastAsia" w:ascii="仿宋_GB2312" w:hAnsi="仿宋_GB2312" w:eastAsia="仿宋_GB2312" w:cs="仿宋_GB2312"/>
          <w:color w:val="auto"/>
          <w:sz w:val="24"/>
          <w:szCs w:val="24"/>
          <w:shd w:val="clear" w:color="auto" w:fill="FFFFFF"/>
        </w:rPr>
        <w:t>具有丰富行业经验和专业技能的资深</w:t>
      </w:r>
      <w:r>
        <w:rPr>
          <w:rFonts w:hint="eastAsia" w:ascii="仿宋_GB2312" w:hAnsi="仿宋_GB2312" w:eastAsia="仿宋_GB2312" w:cs="仿宋_GB2312"/>
          <w:color w:val="auto"/>
          <w:sz w:val="24"/>
          <w:szCs w:val="24"/>
          <w:shd w:val="clear" w:color="auto" w:fill="FFFFFF"/>
          <w:lang w:val="en-US" w:eastAsia="zh-CN"/>
        </w:rPr>
        <w:t>一线设计师或项目经理</w:t>
      </w:r>
      <w:r>
        <w:rPr>
          <w:rFonts w:hint="eastAsia" w:ascii="仿宋_GB2312" w:hAnsi="仿宋_GB2312" w:eastAsia="仿宋_GB2312" w:cs="仿宋_GB2312"/>
          <w:color w:val="auto"/>
          <w:sz w:val="24"/>
          <w:szCs w:val="24"/>
          <w:shd w:val="clear" w:color="auto" w:fill="FFFFFF"/>
        </w:rPr>
        <w:t>担任</w:t>
      </w:r>
      <w:r>
        <w:rPr>
          <w:rFonts w:hint="eastAsia" w:ascii="仿宋_GB2312" w:hAnsi="仿宋_GB2312" w:eastAsia="仿宋_GB2312" w:cs="仿宋_GB2312"/>
          <w:color w:val="auto"/>
          <w:sz w:val="24"/>
          <w:szCs w:val="24"/>
          <w:shd w:val="clear" w:color="auto" w:fill="FFFFFF"/>
          <w:lang w:val="en-US" w:eastAsia="zh-CN"/>
        </w:rPr>
        <w:t>企业</w:t>
      </w:r>
      <w:r>
        <w:rPr>
          <w:rFonts w:hint="eastAsia" w:ascii="仿宋_GB2312" w:hAnsi="仿宋_GB2312" w:eastAsia="仿宋_GB2312" w:cs="仿宋_GB2312"/>
          <w:color w:val="auto"/>
          <w:sz w:val="24"/>
          <w:szCs w:val="24"/>
          <w:shd w:val="clear" w:color="auto" w:fill="FFFFFF"/>
        </w:rPr>
        <w:t>导师，为</w:t>
      </w:r>
      <w:r>
        <w:rPr>
          <w:rFonts w:hint="eastAsia" w:ascii="仿宋_GB2312" w:hAnsi="仿宋_GB2312" w:eastAsia="仿宋_GB2312" w:cs="仿宋_GB2312"/>
          <w:color w:val="auto"/>
          <w:sz w:val="24"/>
          <w:szCs w:val="24"/>
          <w:shd w:val="clear" w:color="auto" w:fill="FFFFFF"/>
          <w:lang w:val="en-US" w:eastAsia="zh-CN"/>
        </w:rPr>
        <w:t>毕业</w:t>
      </w:r>
      <w:r>
        <w:rPr>
          <w:rFonts w:hint="eastAsia" w:ascii="仿宋_GB2312" w:hAnsi="仿宋_GB2312" w:eastAsia="仿宋_GB2312" w:cs="仿宋_GB2312"/>
          <w:color w:val="auto"/>
          <w:sz w:val="24"/>
          <w:szCs w:val="24"/>
          <w:shd w:val="clear" w:color="auto" w:fill="FFFFFF"/>
        </w:rPr>
        <w:t>学生提供</w:t>
      </w:r>
      <w:r>
        <w:rPr>
          <w:rFonts w:hint="eastAsia" w:ascii="仿宋_GB2312" w:hAnsi="仿宋_GB2312" w:eastAsia="仿宋_GB2312" w:cs="仿宋_GB2312"/>
          <w:color w:val="auto"/>
          <w:sz w:val="24"/>
          <w:szCs w:val="24"/>
          <w:shd w:val="clear" w:color="auto" w:fill="FFFFFF"/>
          <w:lang w:val="en-US" w:eastAsia="zh-CN"/>
        </w:rPr>
        <w:t>专业方面的</w:t>
      </w:r>
      <w:r>
        <w:rPr>
          <w:rFonts w:hint="eastAsia" w:ascii="仿宋_GB2312" w:hAnsi="仿宋_GB2312" w:eastAsia="仿宋_GB2312" w:cs="仿宋_GB2312"/>
          <w:color w:val="auto"/>
          <w:sz w:val="24"/>
          <w:szCs w:val="24"/>
          <w:shd w:val="clear" w:color="auto" w:fill="FFFFFF"/>
        </w:rPr>
        <w:t>职业指导和支持</w:t>
      </w:r>
      <w:r>
        <w:rPr>
          <w:rFonts w:hint="eastAsia" w:ascii="仿宋_GB2312" w:hAnsi="仿宋_GB2312" w:eastAsia="仿宋_GB2312" w:cs="仿宋_GB2312"/>
          <w:color w:val="auto"/>
          <w:sz w:val="24"/>
          <w:szCs w:val="24"/>
          <w:shd w:val="clear" w:color="auto" w:fill="FFFFFF"/>
          <w:lang w:eastAsia="zh-CN"/>
        </w:rPr>
        <w:t>，</w:t>
      </w:r>
      <w:r>
        <w:rPr>
          <w:rFonts w:hint="eastAsia" w:ascii="仿宋_GB2312" w:hAnsi="仿宋_GB2312" w:eastAsia="仿宋_GB2312" w:cs="仿宋_GB2312"/>
          <w:color w:val="auto"/>
          <w:sz w:val="24"/>
          <w:szCs w:val="24"/>
          <w:shd w:val="clear" w:color="auto" w:fill="FFFFFF"/>
        </w:rPr>
        <w:t>企业导师通过</w:t>
      </w:r>
      <w:r>
        <w:rPr>
          <w:rFonts w:hint="eastAsia" w:ascii="仿宋_GB2312" w:hAnsi="仿宋_GB2312" w:eastAsia="仿宋_GB2312" w:cs="仿宋_GB2312"/>
          <w:color w:val="auto"/>
          <w:sz w:val="24"/>
          <w:szCs w:val="24"/>
          <w:shd w:val="clear" w:color="auto" w:fill="FFFFFF"/>
          <w:lang w:val="en-US" w:eastAsia="zh-CN"/>
        </w:rPr>
        <w:t>线上线下会议或项目交流，</w:t>
      </w:r>
      <w:r>
        <w:rPr>
          <w:rFonts w:hint="eastAsia" w:ascii="仿宋_GB2312" w:hAnsi="仿宋_GB2312" w:eastAsia="仿宋_GB2312" w:cs="仿宋_GB2312"/>
          <w:color w:val="auto"/>
          <w:sz w:val="24"/>
          <w:szCs w:val="24"/>
          <w:shd w:val="clear" w:color="auto" w:fill="FFFFFF"/>
        </w:rPr>
        <w:t>分享</w:t>
      </w:r>
      <w:r>
        <w:rPr>
          <w:rFonts w:hint="eastAsia" w:ascii="仿宋_GB2312" w:hAnsi="仿宋_GB2312" w:eastAsia="仿宋_GB2312" w:cs="仿宋_GB2312"/>
          <w:color w:val="auto"/>
          <w:sz w:val="24"/>
          <w:szCs w:val="24"/>
          <w:shd w:val="clear" w:color="auto" w:fill="FFFFFF"/>
          <w:lang w:val="en-US" w:eastAsia="zh-CN"/>
        </w:rPr>
        <w:t>个人</w:t>
      </w:r>
      <w:r>
        <w:rPr>
          <w:rFonts w:hint="eastAsia" w:ascii="仿宋_GB2312" w:hAnsi="仿宋_GB2312" w:eastAsia="仿宋_GB2312" w:cs="仿宋_GB2312"/>
          <w:color w:val="auto"/>
          <w:sz w:val="24"/>
          <w:szCs w:val="24"/>
          <w:shd w:val="clear" w:color="auto" w:fill="FFFFFF"/>
        </w:rPr>
        <w:t>经验和</w:t>
      </w:r>
      <w:r>
        <w:rPr>
          <w:rFonts w:hint="eastAsia" w:ascii="仿宋_GB2312" w:hAnsi="仿宋_GB2312" w:eastAsia="仿宋_GB2312" w:cs="仿宋_GB2312"/>
          <w:color w:val="auto"/>
          <w:sz w:val="24"/>
          <w:szCs w:val="24"/>
          <w:shd w:val="clear" w:color="auto" w:fill="FFFFFF"/>
          <w:lang w:val="en-US" w:eastAsia="zh-CN"/>
        </w:rPr>
        <w:t>行业前言</w:t>
      </w:r>
      <w:r>
        <w:rPr>
          <w:rFonts w:hint="eastAsia" w:ascii="仿宋_GB2312" w:hAnsi="仿宋_GB2312" w:eastAsia="仿宋_GB2312" w:cs="仿宋_GB2312"/>
          <w:color w:val="auto"/>
          <w:sz w:val="24"/>
          <w:szCs w:val="24"/>
          <w:shd w:val="clear" w:color="auto" w:fill="FFFFFF"/>
        </w:rPr>
        <w:t>知识，帮助</w:t>
      </w:r>
      <w:r>
        <w:rPr>
          <w:rFonts w:hint="eastAsia" w:ascii="仿宋_GB2312" w:hAnsi="仿宋_GB2312" w:eastAsia="仿宋_GB2312" w:cs="仿宋_GB2312"/>
          <w:color w:val="auto"/>
          <w:sz w:val="24"/>
          <w:szCs w:val="24"/>
          <w:shd w:val="clear" w:color="auto" w:fill="FFFFFF"/>
          <w:lang w:val="en-US" w:eastAsia="zh-CN"/>
        </w:rPr>
        <w:t>在校</w:t>
      </w:r>
      <w:r>
        <w:rPr>
          <w:rFonts w:hint="eastAsia" w:ascii="仿宋_GB2312" w:hAnsi="仿宋_GB2312" w:eastAsia="仿宋_GB2312" w:cs="仿宋_GB2312"/>
          <w:color w:val="auto"/>
          <w:sz w:val="24"/>
          <w:szCs w:val="24"/>
          <w:shd w:val="clear" w:color="auto" w:fill="FFFFFF"/>
        </w:rPr>
        <w:t>学生了解行业现状、职业发展路径和关键技能。</w:t>
      </w:r>
    </w:p>
    <w:p w14:paraId="270FFB64">
      <w:pPr>
        <w:spacing w:line="360" w:lineRule="auto"/>
        <w:ind w:firstLine="480" w:firstLineChars="200"/>
        <w:rPr>
          <w:rFonts w:hint="default" w:ascii="仿宋_GB2312" w:hAnsi="仿宋_GB2312" w:eastAsia="仿宋_GB2312" w:cs="仿宋_GB2312"/>
          <w:color w:val="auto"/>
          <w:sz w:val="24"/>
          <w:szCs w:val="24"/>
          <w:shd w:val="clear" w:color="auto" w:fill="FFFFFF"/>
          <w:lang w:val="en-US"/>
        </w:rPr>
      </w:pPr>
      <w:r>
        <w:rPr>
          <w:rFonts w:hint="eastAsia" w:ascii="仿宋_GB2312" w:hAnsi="仿宋_GB2312" w:eastAsia="仿宋_GB2312" w:cs="仿宋_GB2312"/>
          <w:color w:val="auto"/>
          <w:sz w:val="24"/>
          <w:szCs w:val="24"/>
          <w:shd w:val="clear" w:color="auto" w:fill="FFFFFF"/>
          <w:lang w:val="en-US" w:eastAsia="zh-CN"/>
        </w:rPr>
        <w:t>6</w:t>
      </w:r>
      <w:r>
        <w:rPr>
          <w:rFonts w:hint="eastAsia" w:ascii="仿宋_GB2312" w:hAnsi="仿宋_GB2312" w:eastAsia="仿宋_GB2312" w:cs="仿宋_GB2312"/>
          <w:color w:val="auto"/>
          <w:sz w:val="24"/>
          <w:szCs w:val="24"/>
          <w:shd w:val="clear" w:color="auto" w:fill="FFFFFF"/>
        </w:rPr>
        <w:t>.</w:t>
      </w:r>
      <w:r>
        <w:rPr>
          <w:rFonts w:hint="eastAsia" w:ascii="仿宋_GB2312" w:hAnsi="仿宋_GB2312" w:eastAsia="仿宋_GB2312" w:cs="仿宋_GB2312"/>
          <w:color w:val="auto"/>
          <w:sz w:val="24"/>
          <w:szCs w:val="24"/>
          <w:shd w:val="clear" w:color="auto" w:fill="FFFFFF"/>
          <w:lang w:val="en-US" w:eastAsia="zh-CN"/>
        </w:rPr>
        <w:t>共建云班级提优班</w:t>
      </w:r>
    </w:p>
    <w:p w14:paraId="5FA65427">
      <w:pPr>
        <w:spacing w:line="360" w:lineRule="auto"/>
        <w:ind w:firstLine="480" w:firstLineChars="200"/>
        <w:rPr>
          <w:rFonts w:hint="eastAsia" w:ascii="仿宋_GB2312" w:hAnsi="仿宋_GB2312" w:eastAsia="仿宋_GB2312" w:cs="仿宋_GB2312"/>
          <w:color w:val="auto"/>
          <w:sz w:val="24"/>
          <w:szCs w:val="24"/>
          <w:shd w:val="clear" w:color="auto" w:fill="FFFFFF"/>
          <w:lang w:val="en-US" w:eastAsia="zh-CN"/>
        </w:rPr>
      </w:pPr>
      <w:r>
        <w:rPr>
          <w:rFonts w:hint="eastAsia" w:ascii="仿宋_GB2312" w:hAnsi="仿宋_GB2312" w:eastAsia="仿宋_GB2312" w:cs="仿宋_GB2312"/>
          <w:color w:val="auto"/>
          <w:sz w:val="24"/>
          <w:szCs w:val="24"/>
          <w:shd w:val="clear" w:color="auto" w:fill="FFFFFF"/>
          <w:lang w:val="en-US" w:eastAsia="zh-CN"/>
        </w:rPr>
        <w:t>校企共同组建云班级提优班，校企组建教学团队，对学有余力的同学</w:t>
      </w:r>
      <w:r>
        <w:rPr>
          <w:rFonts w:hint="eastAsia" w:ascii="仿宋_GB2312" w:hAnsi="仿宋_GB2312" w:eastAsia="仿宋_GB2312" w:cs="仿宋_GB2312"/>
          <w:color w:val="auto"/>
          <w:sz w:val="24"/>
          <w:szCs w:val="24"/>
          <w:shd w:val="clear" w:color="auto" w:fill="FFFFFF"/>
        </w:rPr>
        <w:t>个性化</w:t>
      </w:r>
      <w:r>
        <w:rPr>
          <w:rFonts w:hint="eastAsia" w:ascii="仿宋_GB2312" w:hAnsi="仿宋_GB2312" w:eastAsia="仿宋_GB2312" w:cs="仿宋_GB2312"/>
          <w:color w:val="auto"/>
          <w:sz w:val="24"/>
          <w:szCs w:val="24"/>
          <w:shd w:val="clear" w:color="auto" w:fill="FFFFFF"/>
          <w:lang w:val="en-US" w:eastAsia="zh-CN"/>
        </w:rPr>
        <w:t>专业提升</w:t>
      </w:r>
      <w:r>
        <w:rPr>
          <w:rFonts w:hint="eastAsia" w:ascii="仿宋_GB2312" w:hAnsi="仿宋_GB2312" w:eastAsia="仿宋_GB2312" w:cs="仿宋_GB2312"/>
          <w:color w:val="auto"/>
          <w:sz w:val="24"/>
          <w:szCs w:val="24"/>
          <w:shd w:val="clear" w:color="auto" w:fill="FFFFFF"/>
          <w:lang w:eastAsia="zh-CN"/>
        </w:rPr>
        <w:t>，</w:t>
      </w:r>
      <w:r>
        <w:rPr>
          <w:rFonts w:hint="eastAsia" w:ascii="仿宋_GB2312" w:hAnsi="仿宋_GB2312" w:eastAsia="仿宋_GB2312" w:cs="仿宋_GB2312"/>
          <w:color w:val="auto"/>
          <w:sz w:val="24"/>
          <w:szCs w:val="24"/>
          <w:shd w:val="clear" w:color="auto" w:fill="FFFFFF"/>
        </w:rPr>
        <w:t>采用</w:t>
      </w:r>
      <w:r>
        <w:rPr>
          <w:rFonts w:hint="eastAsia" w:ascii="仿宋_GB2312" w:hAnsi="仿宋_GB2312" w:eastAsia="仿宋_GB2312" w:cs="仿宋_GB2312"/>
          <w:color w:val="auto"/>
          <w:sz w:val="24"/>
          <w:szCs w:val="24"/>
          <w:shd w:val="clear" w:color="auto" w:fill="FFFFFF"/>
          <w:lang w:val="en-US" w:eastAsia="zh-CN"/>
        </w:rPr>
        <w:t>项目</w:t>
      </w:r>
      <w:r>
        <w:rPr>
          <w:rFonts w:hint="eastAsia" w:ascii="仿宋_GB2312" w:hAnsi="仿宋_GB2312" w:eastAsia="仿宋_GB2312" w:cs="仿宋_GB2312"/>
          <w:color w:val="auto"/>
          <w:sz w:val="24"/>
          <w:szCs w:val="24"/>
          <w:shd w:val="clear" w:color="auto" w:fill="FFFFFF"/>
        </w:rPr>
        <w:t>化教学方式和</w:t>
      </w:r>
      <w:r>
        <w:rPr>
          <w:rFonts w:hint="eastAsia" w:ascii="仿宋_GB2312" w:hAnsi="仿宋_GB2312" w:eastAsia="仿宋_GB2312" w:cs="仿宋_GB2312"/>
          <w:color w:val="auto"/>
          <w:sz w:val="24"/>
          <w:szCs w:val="24"/>
          <w:shd w:val="clear" w:color="auto" w:fill="FFFFFF"/>
          <w:lang w:val="en-US" w:eastAsia="zh-CN"/>
        </w:rPr>
        <w:t>多元</w:t>
      </w:r>
      <w:r>
        <w:rPr>
          <w:rFonts w:hint="eastAsia" w:ascii="仿宋_GB2312" w:hAnsi="仿宋_GB2312" w:eastAsia="仿宋_GB2312" w:cs="仿宋_GB2312"/>
          <w:color w:val="auto"/>
          <w:sz w:val="24"/>
          <w:szCs w:val="24"/>
          <w:shd w:val="clear" w:color="auto" w:fill="FFFFFF"/>
        </w:rPr>
        <w:t>手段，</w:t>
      </w:r>
      <w:r>
        <w:rPr>
          <w:rFonts w:hint="eastAsia" w:ascii="仿宋_GB2312" w:hAnsi="仿宋_GB2312" w:eastAsia="仿宋_GB2312" w:cs="仿宋_GB2312"/>
          <w:color w:val="auto"/>
          <w:sz w:val="24"/>
          <w:szCs w:val="24"/>
          <w:shd w:val="clear" w:color="auto" w:fill="FFFFFF"/>
          <w:lang w:val="en-US" w:eastAsia="zh-CN"/>
        </w:rPr>
        <w:t>培养</w:t>
      </w:r>
      <w:r>
        <w:rPr>
          <w:rFonts w:hint="eastAsia" w:ascii="仿宋_GB2312" w:hAnsi="仿宋_GB2312" w:eastAsia="仿宋_GB2312" w:cs="仿宋_GB2312"/>
          <w:color w:val="auto"/>
          <w:sz w:val="24"/>
          <w:szCs w:val="24"/>
          <w:shd w:val="clear" w:color="auto" w:fill="FFFFFF"/>
        </w:rPr>
        <w:t>学生自主学习和</w:t>
      </w:r>
      <w:r>
        <w:rPr>
          <w:rFonts w:hint="eastAsia" w:ascii="仿宋_GB2312" w:hAnsi="仿宋_GB2312" w:eastAsia="仿宋_GB2312" w:cs="仿宋_GB2312"/>
          <w:color w:val="auto"/>
          <w:sz w:val="24"/>
          <w:szCs w:val="24"/>
          <w:shd w:val="clear" w:color="auto" w:fill="FFFFFF"/>
          <w:lang w:val="en-US" w:eastAsia="zh-CN"/>
        </w:rPr>
        <w:t>专业</w:t>
      </w:r>
      <w:r>
        <w:rPr>
          <w:rFonts w:hint="eastAsia" w:ascii="仿宋_GB2312" w:hAnsi="仿宋_GB2312" w:eastAsia="仿宋_GB2312" w:cs="仿宋_GB2312"/>
          <w:color w:val="auto"/>
          <w:sz w:val="24"/>
          <w:szCs w:val="24"/>
          <w:shd w:val="clear" w:color="auto" w:fill="FFFFFF"/>
        </w:rPr>
        <w:t>实践能力，满足学生个性化发展的需求</w:t>
      </w:r>
      <w:r>
        <w:rPr>
          <w:rFonts w:hint="eastAsia" w:ascii="仿宋_GB2312" w:hAnsi="仿宋_GB2312" w:eastAsia="仿宋_GB2312" w:cs="仿宋_GB2312"/>
          <w:color w:val="auto"/>
          <w:sz w:val="24"/>
          <w:szCs w:val="24"/>
          <w:shd w:val="clear" w:color="auto" w:fill="FFFFFF"/>
          <w:lang w:eastAsia="zh-CN"/>
        </w:rPr>
        <w:t>，</w:t>
      </w:r>
      <w:r>
        <w:rPr>
          <w:rFonts w:hint="eastAsia" w:ascii="仿宋_GB2312" w:hAnsi="仿宋_GB2312" w:eastAsia="仿宋_GB2312" w:cs="仿宋_GB2312"/>
          <w:color w:val="auto"/>
          <w:sz w:val="24"/>
          <w:szCs w:val="24"/>
          <w:shd w:val="clear" w:color="auto" w:fill="FFFFFF"/>
          <w:lang w:val="en-US" w:eastAsia="zh-CN"/>
        </w:rPr>
        <w:t>既满足了部分学生的个性化能力提升，也为各类专业竞赛培养了梯队选手。</w:t>
      </w:r>
    </w:p>
    <w:p w14:paraId="71B05AE6">
      <w:pPr>
        <w:pStyle w:val="6"/>
        <w:keepNext w:val="0"/>
        <w:keepLines w:val="0"/>
        <w:widowControl/>
        <w:suppressLineNumbers w:val="0"/>
        <w:jc w:val="center"/>
      </w:pPr>
      <w:r>
        <w:drawing>
          <wp:inline distT="0" distB="0" distL="114300" distR="114300">
            <wp:extent cx="2400300" cy="1800225"/>
            <wp:effectExtent l="0" t="0" r="13335" b="7620"/>
            <wp:docPr id="26" name="图片 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8" descr="IMG_256"/>
                    <pic:cNvPicPr>
                      <a:picLocks noChangeAspect="1"/>
                    </pic:cNvPicPr>
                  </pic:nvPicPr>
                  <pic:blipFill>
                    <a:blip r:embed="rId20"/>
                    <a:stretch>
                      <a:fillRect/>
                    </a:stretch>
                  </pic:blipFill>
                  <pic:spPr>
                    <a:xfrm rot="5400000">
                      <a:off x="0" y="0"/>
                      <a:ext cx="2400300" cy="1800225"/>
                    </a:xfrm>
                    <a:prstGeom prst="rect">
                      <a:avLst/>
                    </a:prstGeom>
                    <a:noFill/>
                    <a:ln w="9525">
                      <a:noFill/>
                    </a:ln>
                  </pic:spPr>
                </pic:pic>
              </a:graphicData>
            </a:graphic>
          </wp:inline>
        </w:drawing>
      </w:r>
      <w:r>
        <w:rPr>
          <w:rFonts w:hint="eastAsia"/>
          <w:lang w:val="en-US" w:eastAsia="zh-CN"/>
        </w:rPr>
        <w:t xml:space="preserve">   </w:t>
      </w:r>
      <w:r>
        <w:drawing>
          <wp:inline distT="0" distB="0" distL="114300" distR="114300">
            <wp:extent cx="3197860" cy="2407920"/>
            <wp:effectExtent l="0" t="0" r="2540" b="0"/>
            <wp:docPr id="28" name="图片 1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0" descr="IMG_256"/>
                    <pic:cNvPicPr>
                      <a:picLocks noChangeAspect="1"/>
                    </pic:cNvPicPr>
                  </pic:nvPicPr>
                  <pic:blipFill>
                    <a:blip r:embed="rId21"/>
                    <a:stretch>
                      <a:fillRect/>
                    </a:stretch>
                  </pic:blipFill>
                  <pic:spPr>
                    <a:xfrm>
                      <a:off x="0" y="0"/>
                      <a:ext cx="3197860" cy="2407920"/>
                    </a:xfrm>
                    <a:prstGeom prst="rect">
                      <a:avLst/>
                    </a:prstGeom>
                    <a:noFill/>
                    <a:ln w="9525">
                      <a:noFill/>
                    </a:ln>
                  </pic:spPr>
                </pic:pic>
              </a:graphicData>
            </a:graphic>
          </wp:inline>
        </w:drawing>
      </w:r>
    </w:p>
    <w:p w14:paraId="33EF2E64">
      <w:pPr>
        <w:spacing w:line="360" w:lineRule="auto"/>
        <w:ind w:firstLine="480" w:firstLineChars="200"/>
        <w:rPr>
          <w:rFonts w:hint="default" w:ascii="仿宋_GB2312" w:hAnsi="仿宋_GB2312" w:eastAsia="仿宋_GB2312" w:cs="仿宋_GB2312"/>
          <w:color w:val="auto"/>
          <w:sz w:val="24"/>
          <w:szCs w:val="24"/>
          <w:shd w:val="clear" w:color="auto" w:fill="FFFFFF"/>
          <w:lang w:val="en-US" w:eastAsia="zh-CN"/>
        </w:rPr>
      </w:pPr>
      <w:r>
        <w:rPr>
          <w:rFonts w:hint="eastAsia" w:ascii="仿宋_GB2312" w:hAnsi="仿宋_GB2312" w:eastAsia="仿宋_GB2312" w:cs="仿宋_GB2312"/>
          <w:color w:val="auto"/>
          <w:sz w:val="24"/>
          <w:szCs w:val="24"/>
          <w:shd w:val="clear" w:color="auto" w:fill="FFFFFF"/>
          <w:lang w:val="en-US" w:eastAsia="zh-CN"/>
        </w:rPr>
        <w:t>采取以上做法</w:t>
      </w:r>
      <w:r>
        <w:rPr>
          <w:rFonts w:hint="eastAsia" w:ascii="仿宋_GB2312" w:hAnsi="仿宋_GB2312" w:eastAsia="仿宋_GB2312" w:cs="仿宋_GB2312"/>
          <w:color w:val="auto"/>
          <w:sz w:val="24"/>
          <w:szCs w:val="24"/>
          <w:shd w:val="clear" w:color="auto" w:fill="FFFFFF"/>
        </w:rPr>
        <w:t>，有效提升</w:t>
      </w:r>
      <w:r>
        <w:rPr>
          <w:rFonts w:hint="eastAsia" w:ascii="仿宋_GB2312" w:hAnsi="仿宋_GB2312" w:eastAsia="仿宋_GB2312" w:cs="仿宋_GB2312"/>
          <w:color w:val="auto"/>
          <w:sz w:val="24"/>
          <w:szCs w:val="24"/>
          <w:shd w:val="clear" w:color="auto" w:fill="FFFFFF"/>
          <w:lang w:val="en-US" w:eastAsia="zh-CN"/>
        </w:rPr>
        <w:t>了校企双方合作的紧密度，提升了</w:t>
      </w:r>
      <w:r>
        <w:rPr>
          <w:rFonts w:hint="eastAsia" w:ascii="仿宋_GB2312" w:hAnsi="仿宋_GB2312" w:eastAsia="仿宋_GB2312" w:cs="仿宋_GB2312"/>
          <w:color w:val="auto"/>
          <w:sz w:val="24"/>
          <w:szCs w:val="24"/>
          <w:shd w:val="clear" w:color="auto" w:fill="FFFFFF"/>
        </w:rPr>
        <w:t>合作院校的</w:t>
      </w:r>
      <w:r>
        <w:rPr>
          <w:rFonts w:hint="eastAsia" w:ascii="仿宋_GB2312" w:hAnsi="仿宋_GB2312" w:eastAsia="仿宋_GB2312" w:cs="仿宋_GB2312"/>
          <w:color w:val="auto"/>
          <w:sz w:val="24"/>
          <w:szCs w:val="24"/>
          <w:shd w:val="clear" w:color="auto" w:fill="FFFFFF"/>
          <w:lang w:val="en-US" w:eastAsia="zh-CN"/>
        </w:rPr>
        <w:t>专业</w:t>
      </w:r>
      <w:r>
        <w:rPr>
          <w:rFonts w:hint="eastAsia" w:ascii="仿宋_GB2312" w:hAnsi="仿宋_GB2312" w:eastAsia="仿宋_GB2312" w:cs="仿宋_GB2312"/>
          <w:color w:val="auto"/>
          <w:sz w:val="24"/>
          <w:szCs w:val="24"/>
          <w:shd w:val="clear" w:color="auto" w:fill="FFFFFF"/>
        </w:rPr>
        <w:t>教育质量和学生的</w:t>
      </w:r>
      <w:r>
        <w:rPr>
          <w:rFonts w:hint="eastAsia" w:ascii="仿宋_GB2312" w:hAnsi="仿宋_GB2312" w:eastAsia="仿宋_GB2312" w:cs="仿宋_GB2312"/>
          <w:color w:val="auto"/>
          <w:sz w:val="24"/>
          <w:szCs w:val="24"/>
          <w:shd w:val="clear" w:color="auto" w:fill="FFFFFF"/>
          <w:lang w:val="en-US" w:eastAsia="zh-CN"/>
        </w:rPr>
        <w:t>专业</w:t>
      </w:r>
      <w:r>
        <w:rPr>
          <w:rFonts w:hint="eastAsia" w:ascii="仿宋_GB2312" w:hAnsi="仿宋_GB2312" w:eastAsia="仿宋_GB2312" w:cs="仿宋_GB2312"/>
          <w:color w:val="auto"/>
          <w:sz w:val="24"/>
          <w:szCs w:val="24"/>
          <w:shd w:val="clear" w:color="auto" w:fill="FFFFFF"/>
        </w:rPr>
        <w:t>就业竞争力，</w:t>
      </w:r>
      <w:r>
        <w:rPr>
          <w:rFonts w:hint="eastAsia" w:ascii="仿宋_GB2312" w:hAnsi="仿宋_GB2312" w:eastAsia="仿宋_GB2312" w:cs="仿宋_GB2312"/>
          <w:color w:val="auto"/>
          <w:sz w:val="24"/>
          <w:szCs w:val="24"/>
          <w:shd w:val="clear" w:color="auto" w:fill="FFFFFF"/>
          <w:lang w:val="en-US" w:eastAsia="zh-CN"/>
        </w:rPr>
        <w:t>有利于</w:t>
      </w:r>
      <w:r>
        <w:rPr>
          <w:rFonts w:hint="eastAsia" w:ascii="仿宋_GB2312" w:hAnsi="仿宋_GB2312" w:eastAsia="仿宋_GB2312" w:cs="仿宋_GB2312"/>
          <w:color w:val="auto"/>
          <w:sz w:val="24"/>
          <w:szCs w:val="24"/>
          <w:shd w:val="clear" w:color="auto" w:fill="FFFFFF"/>
        </w:rPr>
        <w:t>促进</w:t>
      </w:r>
      <w:r>
        <w:rPr>
          <w:rFonts w:hint="eastAsia" w:ascii="仿宋_GB2312" w:hAnsi="仿宋_GB2312" w:eastAsia="仿宋_GB2312" w:cs="仿宋_GB2312"/>
          <w:color w:val="auto"/>
          <w:sz w:val="24"/>
          <w:szCs w:val="24"/>
          <w:shd w:val="clear" w:color="auto" w:fill="FFFFFF"/>
          <w:lang w:val="en-US" w:eastAsia="zh-CN"/>
        </w:rPr>
        <w:t>区域</w:t>
      </w:r>
      <w:r>
        <w:rPr>
          <w:rFonts w:hint="eastAsia" w:ascii="仿宋_GB2312" w:hAnsi="仿宋_GB2312" w:eastAsia="仿宋_GB2312" w:cs="仿宋_GB2312"/>
          <w:color w:val="auto"/>
          <w:sz w:val="24"/>
          <w:szCs w:val="24"/>
          <w:shd w:val="clear" w:color="auto" w:fill="FFFFFF"/>
        </w:rPr>
        <w:t>教育资源的共享和优化配置，为</w:t>
      </w:r>
      <w:r>
        <w:rPr>
          <w:rFonts w:hint="eastAsia" w:ascii="仿宋_GB2312" w:hAnsi="仿宋_GB2312" w:eastAsia="仿宋_GB2312" w:cs="仿宋_GB2312"/>
          <w:color w:val="auto"/>
          <w:sz w:val="24"/>
          <w:szCs w:val="24"/>
          <w:shd w:val="clear" w:color="auto" w:fill="FFFFFF"/>
          <w:lang w:val="en-US" w:eastAsia="zh-CN"/>
        </w:rPr>
        <w:t>社会输出专业</w:t>
      </w:r>
      <w:r>
        <w:rPr>
          <w:rFonts w:hint="eastAsia" w:ascii="仿宋_GB2312" w:hAnsi="仿宋_GB2312" w:eastAsia="仿宋_GB2312" w:cs="仿宋_GB2312"/>
          <w:color w:val="auto"/>
          <w:sz w:val="24"/>
          <w:szCs w:val="24"/>
          <w:shd w:val="clear" w:color="auto" w:fill="FFFFFF"/>
        </w:rPr>
        <w:t>人才提供有力的支撑。</w:t>
      </w:r>
      <w:r>
        <w:rPr>
          <w:rFonts w:hint="eastAsia" w:ascii="仿宋_GB2312" w:hAnsi="仿宋_GB2312" w:eastAsia="仿宋_GB2312" w:cs="仿宋_GB2312"/>
          <w:color w:val="auto"/>
          <w:sz w:val="24"/>
          <w:szCs w:val="24"/>
          <w:shd w:val="clear" w:color="auto" w:fill="FFFFFF"/>
          <w:lang w:val="en-US" w:eastAsia="zh-CN"/>
        </w:rPr>
        <w:t>一年来，受训学生60余人，逾200人次，学院师生参加省职业院校职业技能竞赛并荣获二等奖、三等奖。</w:t>
      </w:r>
    </w:p>
    <w:p w14:paraId="3465A1E8">
      <w:pPr>
        <w:spacing w:line="360" w:lineRule="auto"/>
        <w:ind w:firstLine="480" w:firstLineChars="200"/>
        <w:rPr>
          <w:rFonts w:hint="default" w:ascii="仿宋_GB2312" w:hAnsi="宋体" w:eastAsia="仿宋_GB2312" w:cs="黑体"/>
          <w:sz w:val="24"/>
          <w:lang w:val="en-US" w:eastAsia="zh-CN"/>
        </w:rPr>
      </w:pPr>
      <w:r>
        <w:rPr>
          <w:rFonts w:hint="default" w:ascii="仿宋_GB2312" w:hAnsi="宋体" w:eastAsia="仿宋_GB2312" w:cs="黑体"/>
          <w:sz w:val="24"/>
          <w:lang w:val="en-US" w:eastAsia="zh-CN"/>
        </w:rPr>
        <w:t>通过不断</w:t>
      </w:r>
      <w:r>
        <w:rPr>
          <w:rFonts w:hint="eastAsia" w:ascii="仿宋_GB2312" w:hAnsi="宋体" w:eastAsia="仿宋_GB2312" w:cs="黑体"/>
          <w:sz w:val="24"/>
          <w:lang w:val="en-US" w:eastAsia="zh-CN"/>
        </w:rPr>
        <w:t>地</w:t>
      </w:r>
      <w:r>
        <w:rPr>
          <w:rFonts w:hint="default" w:ascii="仿宋_GB2312" w:hAnsi="宋体" w:eastAsia="仿宋_GB2312" w:cs="黑体"/>
          <w:sz w:val="24"/>
          <w:lang w:val="en-US" w:eastAsia="zh-CN"/>
        </w:rPr>
        <w:t>优化</w:t>
      </w:r>
      <w:r>
        <w:rPr>
          <w:rFonts w:hint="eastAsia" w:ascii="仿宋_GB2312" w:hAnsi="宋体" w:eastAsia="仿宋_GB2312" w:cs="黑体"/>
          <w:sz w:val="24"/>
          <w:lang w:val="en-US" w:eastAsia="zh-CN"/>
        </w:rPr>
        <w:t>校企合作</w:t>
      </w:r>
      <w:r>
        <w:rPr>
          <w:rFonts w:hint="default" w:ascii="仿宋_GB2312" w:hAnsi="宋体" w:eastAsia="仿宋_GB2312" w:cs="黑体"/>
          <w:sz w:val="24"/>
          <w:lang w:val="en-US" w:eastAsia="zh-CN"/>
        </w:rPr>
        <w:t>模式，</w:t>
      </w:r>
      <w:r>
        <w:rPr>
          <w:rFonts w:hint="eastAsia" w:ascii="仿宋_GB2312" w:hAnsi="宋体" w:eastAsia="仿宋_GB2312" w:cs="黑体"/>
          <w:sz w:val="24"/>
          <w:lang w:val="en-US" w:eastAsia="zh-CN"/>
        </w:rPr>
        <w:t>取得了一些</w:t>
      </w:r>
      <w:r>
        <w:rPr>
          <w:rFonts w:hint="default" w:ascii="仿宋_GB2312" w:hAnsi="宋体" w:eastAsia="仿宋_GB2312" w:cs="黑体"/>
          <w:sz w:val="24"/>
          <w:lang w:val="en-US" w:eastAsia="zh-CN"/>
        </w:rPr>
        <w:t>成效</w:t>
      </w:r>
      <w:r>
        <w:rPr>
          <w:rFonts w:hint="eastAsia" w:ascii="仿宋_GB2312" w:hAnsi="宋体" w:eastAsia="仿宋_GB2312" w:cs="黑体"/>
          <w:sz w:val="24"/>
          <w:lang w:val="en-US" w:eastAsia="zh-CN"/>
        </w:rPr>
        <w:t>，但</w:t>
      </w:r>
      <w:r>
        <w:rPr>
          <w:rFonts w:hint="default" w:ascii="仿宋_GB2312" w:hAnsi="宋体" w:eastAsia="仿宋_GB2312" w:cs="黑体"/>
          <w:sz w:val="24"/>
          <w:lang w:val="en-US" w:eastAsia="zh-CN"/>
        </w:rPr>
        <w:t>仍有待完善。</w:t>
      </w:r>
    </w:p>
    <w:p w14:paraId="5BB4F221">
      <w:pPr>
        <w:spacing w:line="360" w:lineRule="auto"/>
        <w:ind w:firstLine="480" w:firstLineChars="200"/>
        <w:rPr>
          <w:rFonts w:hint="eastAsia" w:ascii="仿宋_GB2312" w:hAnsi="宋体" w:eastAsia="仿宋_GB2312" w:cs="黑体"/>
          <w:sz w:val="24"/>
          <w:lang w:val="en-US" w:eastAsia="zh-CN"/>
        </w:rPr>
      </w:pPr>
      <w:r>
        <w:rPr>
          <w:rFonts w:hint="eastAsia" w:ascii="仿宋_GB2312" w:hAnsi="宋体" w:eastAsia="仿宋_GB2312" w:cs="黑体"/>
          <w:sz w:val="24"/>
          <w:lang w:val="en-US" w:eastAsia="zh-CN"/>
        </w:rPr>
        <w:t xml:space="preserve">1.部分学生职业能力有提高，受众面有待扩大 </w:t>
      </w:r>
    </w:p>
    <w:p w14:paraId="38AC7C97">
      <w:pPr>
        <w:spacing w:line="360" w:lineRule="auto"/>
        <w:ind w:firstLine="480" w:firstLineChars="200"/>
        <w:rPr>
          <w:rFonts w:hint="eastAsia" w:ascii="仿宋_GB2312" w:hAnsi="宋体" w:eastAsia="仿宋_GB2312" w:cs="黑体"/>
          <w:sz w:val="24"/>
          <w:lang w:val="en-US" w:eastAsia="zh-CN"/>
        </w:rPr>
      </w:pPr>
      <w:r>
        <w:rPr>
          <w:rFonts w:hint="eastAsia" w:ascii="仿宋_GB2312" w:hAnsi="宋体" w:eastAsia="仿宋_GB2312" w:cs="黑体"/>
          <w:sz w:val="24"/>
          <w:lang w:val="en-US" w:eastAsia="zh-CN"/>
        </w:rPr>
        <w:t>通过校企合作，并采取多种举措，部分学生职业能力有提高较大，但受众面有待扩大，一半原因部分校企合作项目规模较小，能够容纳的学生数量有限，一部分学生由于自身条件限制，难以获得参与校企合作项目的机会，一部分学生对校企合作项目了解不足，缺乏参与的积极性和主动性。</w:t>
      </w:r>
    </w:p>
    <w:p w14:paraId="768929FF">
      <w:pPr>
        <w:spacing w:line="360" w:lineRule="auto"/>
        <w:ind w:firstLine="480" w:firstLineChars="200"/>
        <w:rPr>
          <w:rFonts w:hint="eastAsia" w:ascii="仿宋_GB2312" w:hAnsi="宋体" w:eastAsia="仿宋_GB2312" w:cs="黑体"/>
          <w:sz w:val="24"/>
          <w:lang w:val="en-US" w:eastAsia="zh-CN"/>
        </w:rPr>
      </w:pPr>
      <w:r>
        <w:rPr>
          <w:rFonts w:hint="eastAsia" w:ascii="仿宋_GB2312" w:hAnsi="宋体" w:eastAsia="仿宋_GB2312" w:cs="黑体"/>
          <w:sz w:val="24"/>
          <w:lang w:val="en-US" w:eastAsia="zh-CN"/>
        </w:rPr>
        <w:t xml:space="preserve">2.职业素养教育亟待提供 </w:t>
      </w:r>
    </w:p>
    <w:p w14:paraId="3DFA5796">
      <w:pPr>
        <w:spacing w:line="360" w:lineRule="auto"/>
        <w:ind w:firstLine="480" w:firstLineChars="200"/>
        <w:rPr>
          <w:rFonts w:hint="eastAsia" w:ascii="仿宋_GB2312" w:hAnsi="宋体" w:eastAsia="仿宋_GB2312" w:cs="黑体"/>
          <w:sz w:val="24"/>
        </w:rPr>
      </w:pPr>
      <w:r>
        <w:rPr>
          <w:rFonts w:hint="eastAsia" w:ascii="仿宋_GB2312" w:hAnsi="宋体" w:eastAsia="仿宋_GB2312" w:cs="黑体"/>
          <w:sz w:val="24"/>
        </w:rPr>
        <w:t>近年来，在企业招聘过程，希望能招到</w:t>
      </w:r>
      <w:r>
        <w:rPr>
          <w:rFonts w:hint="eastAsia" w:ascii="仿宋_GB2312" w:hAnsi="宋体" w:eastAsia="仿宋_GB2312" w:cs="黑体"/>
          <w:sz w:val="24"/>
          <w:lang w:val="en-US" w:eastAsia="zh-CN"/>
        </w:rPr>
        <w:t>专业技术</w:t>
      </w:r>
      <w:r>
        <w:rPr>
          <w:rFonts w:hint="eastAsia" w:ascii="仿宋_GB2312" w:hAnsi="宋体" w:eastAsia="仿宋_GB2312" w:cs="黑体"/>
          <w:sz w:val="24"/>
        </w:rPr>
        <w:t>能力强，</w:t>
      </w:r>
      <w:r>
        <w:rPr>
          <w:rFonts w:hint="eastAsia" w:ascii="仿宋_GB2312" w:hAnsi="宋体" w:eastAsia="仿宋_GB2312" w:cs="黑体"/>
          <w:sz w:val="24"/>
          <w:lang w:val="en-US" w:eastAsia="zh-CN"/>
        </w:rPr>
        <w:t>综合素养高的员工，然而，学生在实习过程中，多数看到的是实习待遇，忽略了实习的初衷。</w:t>
      </w:r>
      <w:r>
        <w:rPr>
          <w:rFonts w:hint="eastAsia" w:ascii="仿宋_GB2312" w:hAnsi="宋体" w:eastAsia="仿宋_GB2312" w:cs="黑体"/>
          <w:sz w:val="24"/>
        </w:rPr>
        <w:t>学校教学过程中学生职业素养及三观培养</w:t>
      </w:r>
      <w:r>
        <w:rPr>
          <w:rFonts w:hint="eastAsia" w:ascii="仿宋_GB2312" w:hAnsi="宋体" w:eastAsia="仿宋_GB2312" w:cs="黑体"/>
          <w:sz w:val="24"/>
          <w:lang w:val="en-US" w:eastAsia="zh-CN"/>
        </w:rPr>
        <w:t>还需</w:t>
      </w:r>
      <w:r>
        <w:rPr>
          <w:rFonts w:hint="eastAsia" w:ascii="仿宋_GB2312" w:hAnsi="宋体" w:eastAsia="仿宋_GB2312" w:cs="黑体"/>
          <w:sz w:val="24"/>
        </w:rPr>
        <w:t>加强，</w:t>
      </w:r>
      <w:r>
        <w:rPr>
          <w:rFonts w:hint="eastAsia" w:ascii="仿宋_GB2312" w:hAnsi="宋体" w:eastAsia="仿宋_GB2312" w:cs="黑体"/>
          <w:sz w:val="24"/>
          <w:lang w:val="en-US" w:eastAsia="zh-CN"/>
        </w:rPr>
        <w:t>培养</w:t>
      </w:r>
      <w:r>
        <w:rPr>
          <w:rFonts w:hint="eastAsia" w:ascii="仿宋_GB2312" w:hAnsi="宋体" w:eastAsia="仿宋_GB2312" w:cs="黑体"/>
          <w:sz w:val="24"/>
        </w:rPr>
        <w:t>综合素质较高，技术技能强的人才。</w:t>
      </w:r>
    </w:p>
    <w:p w14:paraId="54886FFE">
      <w:pPr>
        <w:spacing w:line="360" w:lineRule="auto"/>
        <w:ind w:firstLine="480" w:firstLineChars="200"/>
        <w:rPr>
          <w:rFonts w:hint="eastAsia" w:ascii="仿宋_GB2312" w:hAnsi="宋体" w:eastAsia="仿宋_GB2312" w:cs="黑体"/>
          <w:sz w:val="24"/>
          <w:lang w:val="en-US" w:eastAsia="zh-CN"/>
        </w:rPr>
      </w:pPr>
      <w:r>
        <w:rPr>
          <w:rFonts w:hint="eastAsia" w:ascii="仿宋_GB2312" w:hAnsi="宋体" w:eastAsia="仿宋_GB2312" w:cs="黑体"/>
          <w:sz w:val="24"/>
          <w:lang w:val="en-US" w:eastAsia="zh-CN"/>
        </w:rPr>
        <w:t xml:space="preserve">3.AI技术快速发展的影响 </w:t>
      </w:r>
    </w:p>
    <w:p w14:paraId="5E1E324A">
      <w:pPr>
        <w:spacing w:line="360" w:lineRule="auto"/>
        <w:ind w:firstLine="480" w:firstLineChars="200"/>
        <w:rPr>
          <w:rFonts w:hint="eastAsia" w:ascii="仿宋_GB2312" w:hAnsi="宋体" w:eastAsia="仿宋_GB2312" w:cs="黑体"/>
          <w:sz w:val="24"/>
          <w:highlight w:val="none"/>
          <w:lang w:val="en-US" w:eastAsia="zh-CN"/>
        </w:rPr>
      </w:pPr>
      <w:r>
        <w:rPr>
          <w:rFonts w:hint="eastAsia" w:ascii="仿宋_GB2312" w:hAnsi="宋体" w:eastAsia="仿宋_GB2312" w:cs="黑体"/>
          <w:sz w:val="24"/>
          <w:highlight w:val="none"/>
          <w:lang w:val="en-US" w:eastAsia="zh-CN"/>
        </w:rPr>
        <w:t>AI技术的快速发展正在深刻影响着各行各业，带来了无尽机遇和挑战，也对人才培养提出了新的要求。高职院校的人才培养、课程设置、AI类的师资建设稍显滞后性，人才培养目标需要从传统的技能型人才向复合型、创新型人才转变，注重培养学生的创新能力、学习能力和跨界整合能力。</w:t>
      </w:r>
    </w:p>
    <w:sectPr>
      <w:pgSz w:w="11906" w:h="16838"/>
      <w:pgMar w:top="1587" w:right="1474" w:bottom="1587" w:left="1588"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Calibri Light">
    <w:panose1 w:val="020F0302020204030204"/>
    <w:charset w:val="00"/>
    <w:family w:val="swiss"/>
    <w:pitch w:val="default"/>
    <w:sig w:usb0="E0002A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仿宋_GB2312">
    <w:panose1 w:val="02010609030101010101"/>
    <w:charset w:val="86"/>
    <w:family w:val="auto"/>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FB78D17"/>
    <w:multiLevelType w:val="singleLevel"/>
    <w:tmpl w:val="4FB78D17"/>
    <w:lvl w:ilvl="0" w:tentative="0">
      <w:start w:val="1"/>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8"/>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zViM2M1ZWI2MmY5YTM5YzhkMTY4NzRjZGQ2YmU3YzUifQ=="/>
  </w:docVars>
  <w:rsids>
    <w:rsidRoot w:val="00242850"/>
    <w:rsid w:val="00001DA0"/>
    <w:rsid w:val="0000223A"/>
    <w:rsid w:val="00011467"/>
    <w:rsid w:val="00013C20"/>
    <w:rsid w:val="00016E8B"/>
    <w:rsid w:val="000222E3"/>
    <w:rsid w:val="0005266D"/>
    <w:rsid w:val="000552E1"/>
    <w:rsid w:val="00062042"/>
    <w:rsid w:val="00063631"/>
    <w:rsid w:val="00064A8E"/>
    <w:rsid w:val="0007431C"/>
    <w:rsid w:val="000768CA"/>
    <w:rsid w:val="00091D2B"/>
    <w:rsid w:val="000A2C0A"/>
    <w:rsid w:val="000A5A80"/>
    <w:rsid w:val="000B25A1"/>
    <w:rsid w:val="000B7A06"/>
    <w:rsid w:val="000D61CE"/>
    <w:rsid w:val="000E1772"/>
    <w:rsid w:val="000F2203"/>
    <w:rsid w:val="000F4D85"/>
    <w:rsid w:val="000F4D89"/>
    <w:rsid w:val="00137C82"/>
    <w:rsid w:val="00157458"/>
    <w:rsid w:val="001756FB"/>
    <w:rsid w:val="001757DF"/>
    <w:rsid w:val="001B13D7"/>
    <w:rsid w:val="001B5E44"/>
    <w:rsid w:val="001B76F7"/>
    <w:rsid w:val="001C4089"/>
    <w:rsid w:val="001D7013"/>
    <w:rsid w:val="00201BFE"/>
    <w:rsid w:val="00202232"/>
    <w:rsid w:val="00220F2C"/>
    <w:rsid w:val="00230BE7"/>
    <w:rsid w:val="00242850"/>
    <w:rsid w:val="00250605"/>
    <w:rsid w:val="0025094E"/>
    <w:rsid w:val="0027771A"/>
    <w:rsid w:val="002807C3"/>
    <w:rsid w:val="002923B5"/>
    <w:rsid w:val="002C47E0"/>
    <w:rsid w:val="002C74B8"/>
    <w:rsid w:val="002D3151"/>
    <w:rsid w:val="002D413F"/>
    <w:rsid w:val="002D63D2"/>
    <w:rsid w:val="002F75D0"/>
    <w:rsid w:val="00305EB3"/>
    <w:rsid w:val="00316523"/>
    <w:rsid w:val="00317BAD"/>
    <w:rsid w:val="003208A0"/>
    <w:rsid w:val="00336E11"/>
    <w:rsid w:val="00340351"/>
    <w:rsid w:val="00347997"/>
    <w:rsid w:val="00355F93"/>
    <w:rsid w:val="003570E8"/>
    <w:rsid w:val="00375927"/>
    <w:rsid w:val="00383080"/>
    <w:rsid w:val="00387A67"/>
    <w:rsid w:val="00390472"/>
    <w:rsid w:val="003D1BB2"/>
    <w:rsid w:val="003E2B00"/>
    <w:rsid w:val="00410C33"/>
    <w:rsid w:val="00410FAA"/>
    <w:rsid w:val="0041107A"/>
    <w:rsid w:val="00427BE4"/>
    <w:rsid w:val="0043641C"/>
    <w:rsid w:val="004421CC"/>
    <w:rsid w:val="00451E29"/>
    <w:rsid w:val="00460279"/>
    <w:rsid w:val="004725C6"/>
    <w:rsid w:val="004877B7"/>
    <w:rsid w:val="004A7E62"/>
    <w:rsid w:val="004B0E88"/>
    <w:rsid w:val="004C2C69"/>
    <w:rsid w:val="004D2CC2"/>
    <w:rsid w:val="004F01B1"/>
    <w:rsid w:val="004F35F6"/>
    <w:rsid w:val="00536D2A"/>
    <w:rsid w:val="00546350"/>
    <w:rsid w:val="00563469"/>
    <w:rsid w:val="00574DE5"/>
    <w:rsid w:val="00587980"/>
    <w:rsid w:val="005A1D54"/>
    <w:rsid w:val="005A72C0"/>
    <w:rsid w:val="005B11B1"/>
    <w:rsid w:val="005B17C1"/>
    <w:rsid w:val="005B1CE8"/>
    <w:rsid w:val="005B2EB9"/>
    <w:rsid w:val="005D259D"/>
    <w:rsid w:val="005E574A"/>
    <w:rsid w:val="005E6A8C"/>
    <w:rsid w:val="00634B60"/>
    <w:rsid w:val="00656C2D"/>
    <w:rsid w:val="0066323F"/>
    <w:rsid w:val="0067160A"/>
    <w:rsid w:val="0068616D"/>
    <w:rsid w:val="00695974"/>
    <w:rsid w:val="006968C2"/>
    <w:rsid w:val="006C409D"/>
    <w:rsid w:val="006E4825"/>
    <w:rsid w:val="006F6D08"/>
    <w:rsid w:val="00747222"/>
    <w:rsid w:val="00752B0F"/>
    <w:rsid w:val="007672D3"/>
    <w:rsid w:val="00777227"/>
    <w:rsid w:val="007A25F5"/>
    <w:rsid w:val="007B1626"/>
    <w:rsid w:val="007B69AC"/>
    <w:rsid w:val="007C4BD5"/>
    <w:rsid w:val="007C7AA6"/>
    <w:rsid w:val="00811859"/>
    <w:rsid w:val="00822162"/>
    <w:rsid w:val="00823DBE"/>
    <w:rsid w:val="00842614"/>
    <w:rsid w:val="0085301A"/>
    <w:rsid w:val="00861861"/>
    <w:rsid w:val="00874A01"/>
    <w:rsid w:val="00875F18"/>
    <w:rsid w:val="008A348A"/>
    <w:rsid w:val="008B3B30"/>
    <w:rsid w:val="008D10CE"/>
    <w:rsid w:val="008E21E3"/>
    <w:rsid w:val="008E5A99"/>
    <w:rsid w:val="00913F7F"/>
    <w:rsid w:val="0091490E"/>
    <w:rsid w:val="00917E98"/>
    <w:rsid w:val="00927987"/>
    <w:rsid w:val="00933115"/>
    <w:rsid w:val="00942AAC"/>
    <w:rsid w:val="00965FCF"/>
    <w:rsid w:val="00971231"/>
    <w:rsid w:val="009B3742"/>
    <w:rsid w:val="009B4C18"/>
    <w:rsid w:val="009C397B"/>
    <w:rsid w:val="009C61FD"/>
    <w:rsid w:val="009D0A9A"/>
    <w:rsid w:val="009D646E"/>
    <w:rsid w:val="009D6B1E"/>
    <w:rsid w:val="00A22E33"/>
    <w:rsid w:val="00A258E9"/>
    <w:rsid w:val="00A3017F"/>
    <w:rsid w:val="00A34BCA"/>
    <w:rsid w:val="00A44CB6"/>
    <w:rsid w:val="00A571D6"/>
    <w:rsid w:val="00A63DC7"/>
    <w:rsid w:val="00A64981"/>
    <w:rsid w:val="00A76CFF"/>
    <w:rsid w:val="00AC4F30"/>
    <w:rsid w:val="00AC5BC1"/>
    <w:rsid w:val="00B054D5"/>
    <w:rsid w:val="00B240B1"/>
    <w:rsid w:val="00B2738C"/>
    <w:rsid w:val="00B65F37"/>
    <w:rsid w:val="00B74801"/>
    <w:rsid w:val="00B872F7"/>
    <w:rsid w:val="00BA038B"/>
    <w:rsid w:val="00BA45A9"/>
    <w:rsid w:val="00BA4963"/>
    <w:rsid w:val="00BC0793"/>
    <w:rsid w:val="00BC71C0"/>
    <w:rsid w:val="00BD0C1D"/>
    <w:rsid w:val="00BD6F3D"/>
    <w:rsid w:val="00BF3051"/>
    <w:rsid w:val="00BF52BD"/>
    <w:rsid w:val="00BF782D"/>
    <w:rsid w:val="00C03963"/>
    <w:rsid w:val="00C17568"/>
    <w:rsid w:val="00C20C83"/>
    <w:rsid w:val="00C3595A"/>
    <w:rsid w:val="00C37286"/>
    <w:rsid w:val="00C444E0"/>
    <w:rsid w:val="00C52036"/>
    <w:rsid w:val="00C61CA4"/>
    <w:rsid w:val="00C62601"/>
    <w:rsid w:val="00C70FA9"/>
    <w:rsid w:val="00C71A51"/>
    <w:rsid w:val="00C828AA"/>
    <w:rsid w:val="00C86E40"/>
    <w:rsid w:val="00CA5BF9"/>
    <w:rsid w:val="00CB0971"/>
    <w:rsid w:val="00CC0B02"/>
    <w:rsid w:val="00CD00E2"/>
    <w:rsid w:val="00CD0EAA"/>
    <w:rsid w:val="00CD3DCD"/>
    <w:rsid w:val="00CD63DE"/>
    <w:rsid w:val="00CE0FD3"/>
    <w:rsid w:val="00D063F1"/>
    <w:rsid w:val="00D11AC6"/>
    <w:rsid w:val="00D1275F"/>
    <w:rsid w:val="00D241FE"/>
    <w:rsid w:val="00D30E9F"/>
    <w:rsid w:val="00D3456A"/>
    <w:rsid w:val="00D40455"/>
    <w:rsid w:val="00D5044B"/>
    <w:rsid w:val="00D62CA5"/>
    <w:rsid w:val="00D672BA"/>
    <w:rsid w:val="00D92A62"/>
    <w:rsid w:val="00D95350"/>
    <w:rsid w:val="00DA351A"/>
    <w:rsid w:val="00DC63B3"/>
    <w:rsid w:val="00DD0DE8"/>
    <w:rsid w:val="00DE6D24"/>
    <w:rsid w:val="00DE792F"/>
    <w:rsid w:val="00DF4C2D"/>
    <w:rsid w:val="00DF6AE9"/>
    <w:rsid w:val="00E01EBB"/>
    <w:rsid w:val="00E0770D"/>
    <w:rsid w:val="00E22D4B"/>
    <w:rsid w:val="00E30CE3"/>
    <w:rsid w:val="00E30D55"/>
    <w:rsid w:val="00E500C4"/>
    <w:rsid w:val="00E538F0"/>
    <w:rsid w:val="00E5399A"/>
    <w:rsid w:val="00E704A1"/>
    <w:rsid w:val="00E82458"/>
    <w:rsid w:val="00E915C2"/>
    <w:rsid w:val="00EA45D9"/>
    <w:rsid w:val="00EA4D6F"/>
    <w:rsid w:val="00EC4F94"/>
    <w:rsid w:val="00ED2959"/>
    <w:rsid w:val="00EF4317"/>
    <w:rsid w:val="00F157E8"/>
    <w:rsid w:val="00F4124D"/>
    <w:rsid w:val="00F4297E"/>
    <w:rsid w:val="00F45B4D"/>
    <w:rsid w:val="00F52075"/>
    <w:rsid w:val="00F74DDB"/>
    <w:rsid w:val="00F75C57"/>
    <w:rsid w:val="00F81A34"/>
    <w:rsid w:val="00F857FC"/>
    <w:rsid w:val="00F867B7"/>
    <w:rsid w:val="00FC09DB"/>
    <w:rsid w:val="00FC3335"/>
    <w:rsid w:val="00FC4CD9"/>
    <w:rsid w:val="00FF1889"/>
    <w:rsid w:val="00FF2455"/>
    <w:rsid w:val="01C901A1"/>
    <w:rsid w:val="02F07519"/>
    <w:rsid w:val="03C30C20"/>
    <w:rsid w:val="044E498E"/>
    <w:rsid w:val="045F4DED"/>
    <w:rsid w:val="061F6226"/>
    <w:rsid w:val="06D80E87"/>
    <w:rsid w:val="06EC6D6C"/>
    <w:rsid w:val="072D6233"/>
    <w:rsid w:val="07BC4304"/>
    <w:rsid w:val="07FC2703"/>
    <w:rsid w:val="08925B27"/>
    <w:rsid w:val="089B6610"/>
    <w:rsid w:val="09253F4C"/>
    <w:rsid w:val="0A0A57FB"/>
    <w:rsid w:val="0A18707E"/>
    <w:rsid w:val="0A3D172D"/>
    <w:rsid w:val="0A952F5F"/>
    <w:rsid w:val="0A9D041D"/>
    <w:rsid w:val="0B043FF8"/>
    <w:rsid w:val="0C3628D7"/>
    <w:rsid w:val="0CBD4DA7"/>
    <w:rsid w:val="0CC51EAD"/>
    <w:rsid w:val="0E440BB0"/>
    <w:rsid w:val="0E6059EA"/>
    <w:rsid w:val="0EB67D00"/>
    <w:rsid w:val="0EBD5B29"/>
    <w:rsid w:val="1074577C"/>
    <w:rsid w:val="11DA1F57"/>
    <w:rsid w:val="121216F1"/>
    <w:rsid w:val="129F63A2"/>
    <w:rsid w:val="15347BD0"/>
    <w:rsid w:val="16322361"/>
    <w:rsid w:val="16707AF8"/>
    <w:rsid w:val="167F4E7B"/>
    <w:rsid w:val="18D60A49"/>
    <w:rsid w:val="1A361CF4"/>
    <w:rsid w:val="1AD45A7A"/>
    <w:rsid w:val="1B8F5B60"/>
    <w:rsid w:val="1C6B037B"/>
    <w:rsid w:val="1D167BBB"/>
    <w:rsid w:val="1D4604A0"/>
    <w:rsid w:val="1E3D5D47"/>
    <w:rsid w:val="1E6340F0"/>
    <w:rsid w:val="1FF266BE"/>
    <w:rsid w:val="20684BD2"/>
    <w:rsid w:val="215533A8"/>
    <w:rsid w:val="224E3906"/>
    <w:rsid w:val="226A2E83"/>
    <w:rsid w:val="22CC31F6"/>
    <w:rsid w:val="22CE3412"/>
    <w:rsid w:val="230A01C2"/>
    <w:rsid w:val="23867849"/>
    <w:rsid w:val="2513335E"/>
    <w:rsid w:val="25201F1F"/>
    <w:rsid w:val="25750E4B"/>
    <w:rsid w:val="25AE0F76"/>
    <w:rsid w:val="26C32B07"/>
    <w:rsid w:val="2849353B"/>
    <w:rsid w:val="28506677"/>
    <w:rsid w:val="28E03E9F"/>
    <w:rsid w:val="291D0ED5"/>
    <w:rsid w:val="29B449E4"/>
    <w:rsid w:val="29BD333A"/>
    <w:rsid w:val="2A515B7D"/>
    <w:rsid w:val="2A701253"/>
    <w:rsid w:val="2A7E3970"/>
    <w:rsid w:val="2AA02968"/>
    <w:rsid w:val="2ACD656D"/>
    <w:rsid w:val="2AE412F9"/>
    <w:rsid w:val="2B0100FD"/>
    <w:rsid w:val="2B856638"/>
    <w:rsid w:val="2C6E17C2"/>
    <w:rsid w:val="2CA20C98"/>
    <w:rsid w:val="2D7A1165"/>
    <w:rsid w:val="2D9E7E85"/>
    <w:rsid w:val="2DF53F49"/>
    <w:rsid w:val="2E4149DB"/>
    <w:rsid w:val="2E9A4AF0"/>
    <w:rsid w:val="2EE8585B"/>
    <w:rsid w:val="2F772127"/>
    <w:rsid w:val="2FC31E25"/>
    <w:rsid w:val="31321010"/>
    <w:rsid w:val="31943A79"/>
    <w:rsid w:val="31F84007"/>
    <w:rsid w:val="32D549D9"/>
    <w:rsid w:val="331A1D5C"/>
    <w:rsid w:val="334F40FB"/>
    <w:rsid w:val="33871E01"/>
    <w:rsid w:val="339A10EE"/>
    <w:rsid w:val="33E5680D"/>
    <w:rsid w:val="33F627C9"/>
    <w:rsid w:val="34577365"/>
    <w:rsid w:val="346348B6"/>
    <w:rsid w:val="3482441C"/>
    <w:rsid w:val="352670DE"/>
    <w:rsid w:val="355C665B"/>
    <w:rsid w:val="35831E3A"/>
    <w:rsid w:val="35984BD4"/>
    <w:rsid w:val="35B2271F"/>
    <w:rsid w:val="35D408E8"/>
    <w:rsid w:val="35F71710"/>
    <w:rsid w:val="378400EB"/>
    <w:rsid w:val="37FC5ED4"/>
    <w:rsid w:val="38710670"/>
    <w:rsid w:val="38D80546"/>
    <w:rsid w:val="39007C46"/>
    <w:rsid w:val="39137979"/>
    <w:rsid w:val="3A347BA7"/>
    <w:rsid w:val="3AA0523C"/>
    <w:rsid w:val="3AAF1923"/>
    <w:rsid w:val="3B0A4BEA"/>
    <w:rsid w:val="3B616DC6"/>
    <w:rsid w:val="3B693DDA"/>
    <w:rsid w:val="3C5C0988"/>
    <w:rsid w:val="3D18555E"/>
    <w:rsid w:val="3E4412B5"/>
    <w:rsid w:val="3E7013C9"/>
    <w:rsid w:val="3EA352FB"/>
    <w:rsid w:val="3FAE21A9"/>
    <w:rsid w:val="3FF04570"/>
    <w:rsid w:val="426D56E2"/>
    <w:rsid w:val="441D78FE"/>
    <w:rsid w:val="45181E73"/>
    <w:rsid w:val="453914F0"/>
    <w:rsid w:val="45C71FD4"/>
    <w:rsid w:val="475D3D3E"/>
    <w:rsid w:val="478101A3"/>
    <w:rsid w:val="49F96717"/>
    <w:rsid w:val="4B090BDC"/>
    <w:rsid w:val="4B3B68BB"/>
    <w:rsid w:val="4B616322"/>
    <w:rsid w:val="4B863FDA"/>
    <w:rsid w:val="4B962765"/>
    <w:rsid w:val="4BA34B8C"/>
    <w:rsid w:val="4CD46FC7"/>
    <w:rsid w:val="4DAE15C6"/>
    <w:rsid w:val="4ED879A2"/>
    <w:rsid w:val="4FA85E46"/>
    <w:rsid w:val="4FFF25AD"/>
    <w:rsid w:val="50243AAC"/>
    <w:rsid w:val="50FD6AED"/>
    <w:rsid w:val="51204589"/>
    <w:rsid w:val="51FD2B1C"/>
    <w:rsid w:val="52F201A7"/>
    <w:rsid w:val="530C7F7F"/>
    <w:rsid w:val="53BA6F17"/>
    <w:rsid w:val="53FF0DCE"/>
    <w:rsid w:val="54931516"/>
    <w:rsid w:val="550C37A2"/>
    <w:rsid w:val="5597020D"/>
    <w:rsid w:val="55A0038E"/>
    <w:rsid w:val="562E7748"/>
    <w:rsid w:val="57511940"/>
    <w:rsid w:val="57671164"/>
    <w:rsid w:val="57A31A70"/>
    <w:rsid w:val="57B277DD"/>
    <w:rsid w:val="58246B02"/>
    <w:rsid w:val="585B373F"/>
    <w:rsid w:val="587A4EC7"/>
    <w:rsid w:val="59747B68"/>
    <w:rsid w:val="5A3B68D8"/>
    <w:rsid w:val="5A6776CD"/>
    <w:rsid w:val="5AAC788A"/>
    <w:rsid w:val="5AF96577"/>
    <w:rsid w:val="5B0A3F66"/>
    <w:rsid w:val="5B23288C"/>
    <w:rsid w:val="5DBE13B2"/>
    <w:rsid w:val="5DF41277"/>
    <w:rsid w:val="5DFF0206"/>
    <w:rsid w:val="5E28182F"/>
    <w:rsid w:val="5F553F98"/>
    <w:rsid w:val="5F5C5326"/>
    <w:rsid w:val="60D801D1"/>
    <w:rsid w:val="61131A15"/>
    <w:rsid w:val="61585D7F"/>
    <w:rsid w:val="615A7ECA"/>
    <w:rsid w:val="637864A7"/>
    <w:rsid w:val="63E43B3C"/>
    <w:rsid w:val="63F91396"/>
    <w:rsid w:val="642F125B"/>
    <w:rsid w:val="64C03C61"/>
    <w:rsid w:val="65136487"/>
    <w:rsid w:val="657A0163"/>
    <w:rsid w:val="663012BB"/>
    <w:rsid w:val="674F36CF"/>
    <w:rsid w:val="67AF7FBD"/>
    <w:rsid w:val="67D87514"/>
    <w:rsid w:val="67F56318"/>
    <w:rsid w:val="683E4BED"/>
    <w:rsid w:val="68C73342"/>
    <w:rsid w:val="69E14DA6"/>
    <w:rsid w:val="6A26346F"/>
    <w:rsid w:val="6A6652AB"/>
    <w:rsid w:val="6B016D82"/>
    <w:rsid w:val="6BC336C4"/>
    <w:rsid w:val="6BDB75D3"/>
    <w:rsid w:val="6BE168CF"/>
    <w:rsid w:val="6C5850C7"/>
    <w:rsid w:val="6CA3430B"/>
    <w:rsid w:val="6CD7423E"/>
    <w:rsid w:val="6D365409"/>
    <w:rsid w:val="6F062BB9"/>
    <w:rsid w:val="6F8166E3"/>
    <w:rsid w:val="70407BBC"/>
    <w:rsid w:val="70A84CF2"/>
    <w:rsid w:val="722F0678"/>
    <w:rsid w:val="72A76531"/>
    <w:rsid w:val="7376457A"/>
    <w:rsid w:val="73AD56A3"/>
    <w:rsid w:val="73DE2426"/>
    <w:rsid w:val="743B4D3E"/>
    <w:rsid w:val="744E128A"/>
    <w:rsid w:val="756845CD"/>
    <w:rsid w:val="756E611B"/>
    <w:rsid w:val="75DB49A1"/>
    <w:rsid w:val="75EB0D5A"/>
    <w:rsid w:val="773724A9"/>
    <w:rsid w:val="783B47F8"/>
    <w:rsid w:val="788D7EA7"/>
    <w:rsid w:val="789D27E0"/>
    <w:rsid w:val="792415EC"/>
    <w:rsid w:val="7A287E87"/>
    <w:rsid w:val="7ABE2599"/>
    <w:rsid w:val="7B0A57DF"/>
    <w:rsid w:val="7B445194"/>
    <w:rsid w:val="7C0C3FBA"/>
    <w:rsid w:val="7D20578D"/>
    <w:rsid w:val="7D376633"/>
    <w:rsid w:val="7E2D0162"/>
    <w:rsid w:val="7EC80C9F"/>
    <w:rsid w:val="7F363046"/>
    <w:rsid w:val="7F82628B"/>
    <w:rsid w:val="CEF9C478"/>
    <w:rsid w:val="E7DFDBC7"/>
    <w:rsid w:val="FDF319C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iPriority="2"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iPriority="3"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10">
    <w:name w:val="Default Paragraph Font"/>
    <w:semiHidden/>
    <w:unhideWhenUsed/>
    <w:qFormat/>
    <w:uiPriority w:val="1"/>
  </w:style>
  <w:style w:type="table" w:default="1" w:styleId="8">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8"/>
    <w:semiHidden/>
    <w:unhideWhenUsed/>
    <w:qFormat/>
    <w:uiPriority w:val="99"/>
    <w:rPr>
      <w:sz w:val="18"/>
      <w:szCs w:val="18"/>
    </w:rPr>
  </w:style>
  <w:style w:type="paragraph" w:styleId="3">
    <w:name w:val="footer"/>
    <w:basedOn w:val="1"/>
    <w:link w:val="14"/>
    <w:unhideWhenUsed/>
    <w:qFormat/>
    <w:uiPriority w:val="99"/>
    <w:pPr>
      <w:tabs>
        <w:tab w:val="center" w:pos="4153"/>
        <w:tab w:val="right" w:pos="8306"/>
      </w:tabs>
      <w:snapToGrid w:val="0"/>
      <w:jc w:val="left"/>
    </w:pPr>
    <w:rPr>
      <w:sz w:val="18"/>
      <w:szCs w:val="18"/>
    </w:rPr>
  </w:style>
  <w:style w:type="paragraph" w:styleId="4">
    <w:name w:val="header"/>
    <w:basedOn w:val="1"/>
    <w:link w:val="13"/>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Subtitle"/>
    <w:basedOn w:val="1"/>
    <w:link w:val="16"/>
    <w:autoRedefine/>
    <w:unhideWhenUsed/>
    <w:qFormat/>
    <w:uiPriority w:val="3"/>
    <w:pPr>
      <w:widowControl/>
      <w:spacing w:before="300" w:after="40" w:line="264" w:lineRule="auto"/>
      <w:contextualSpacing/>
      <w:jc w:val="center"/>
    </w:pPr>
    <w:rPr>
      <w:rFonts w:asciiTheme="majorHAnsi" w:hAnsiTheme="majorHAnsi" w:eastAsiaTheme="majorEastAsia" w:cstheme="majorBidi"/>
      <w:caps/>
      <w:color w:val="44546A" w:themeColor="text2"/>
      <w:kern w:val="0"/>
      <w:sz w:val="26"/>
      <w:szCs w:val="26"/>
      <w14:textFill>
        <w14:solidFill>
          <w14:schemeClr w14:val="tx2"/>
        </w14:solidFill>
      </w14:textFill>
    </w:rPr>
  </w:style>
  <w:style w:type="paragraph" w:styleId="6">
    <w:name w:val="Normal (Web)"/>
    <w:basedOn w:val="1"/>
    <w:autoRedefine/>
    <w:qFormat/>
    <w:uiPriority w:val="99"/>
    <w:pPr>
      <w:spacing w:beforeAutospacing="1" w:afterAutospacing="1"/>
      <w:jc w:val="left"/>
    </w:pPr>
    <w:rPr>
      <w:rFonts w:cs="Times New Roman"/>
      <w:kern w:val="0"/>
      <w:sz w:val="24"/>
    </w:rPr>
  </w:style>
  <w:style w:type="paragraph" w:styleId="7">
    <w:name w:val="Title"/>
    <w:basedOn w:val="1"/>
    <w:link w:val="15"/>
    <w:autoRedefine/>
    <w:unhideWhenUsed/>
    <w:qFormat/>
    <w:uiPriority w:val="2"/>
    <w:pPr>
      <w:widowControl/>
      <w:spacing w:before="440" w:after="40"/>
      <w:contextualSpacing/>
      <w:jc w:val="center"/>
    </w:pPr>
    <w:rPr>
      <w:rFonts w:asciiTheme="majorHAnsi" w:hAnsiTheme="majorHAnsi" w:eastAsiaTheme="majorEastAsia" w:cstheme="majorBidi"/>
      <w:color w:val="5B9BD5" w:themeColor="accent1"/>
      <w:kern w:val="28"/>
      <w:sz w:val="60"/>
      <w:szCs w:val="60"/>
      <w14:textFill>
        <w14:solidFill>
          <w14:schemeClr w14:val="accent1"/>
        </w14:solidFill>
      </w14:textFill>
    </w:rPr>
  </w:style>
  <w:style w:type="table" w:styleId="9">
    <w:name w:val="Table Grid"/>
    <w:basedOn w:val="8"/>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1">
    <w:name w:val="Strong"/>
    <w:basedOn w:val="10"/>
    <w:qFormat/>
    <w:uiPriority w:val="22"/>
    <w:rPr>
      <w:b/>
    </w:rPr>
  </w:style>
  <w:style w:type="paragraph" w:styleId="12">
    <w:name w:val="List Paragraph"/>
    <w:basedOn w:val="1"/>
    <w:autoRedefine/>
    <w:qFormat/>
    <w:uiPriority w:val="34"/>
    <w:pPr>
      <w:ind w:firstLine="420" w:firstLineChars="200"/>
    </w:pPr>
  </w:style>
  <w:style w:type="character" w:customStyle="1" w:styleId="13">
    <w:name w:val="页眉 字符"/>
    <w:basedOn w:val="10"/>
    <w:link w:val="4"/>
    <w:autoRedefine/>
    <w:qFormat/>
    <w:uiPriority w:val="99"/>
    <w:rPr>
      <w:sz w:val="18"/>
      <w:szCs w:val="18"/>
    </w:rPr>
  </w:style>
  <w:style w:type="character" w:customStyle="1" w:styleId="14">
    <w:name w:val="页脚 字符"/>
    <w:basedOn w:val="10"/>
    <w:link w:val="3"/>
    <w:autoRedefine/>
    <w:qFormat/>
    <w:uiPriority w:val="99"/>
    <w:rPr>
      <w:sz w:val="18"/>
      <w:szCs w:val="18"/>
    </w:rPr>
  </w:style>
  <w:style w:type="character" w:customStyle="1" w:styleId="15">
    <w:name w:val="标题 字符"/>
    <w:basedOn w:val="10"/>
    <w:link w:val="7"/>
    <w:autoRedefine/>
    <w:qFormat/>
    <w:uiPriority w:val="2"/>
    <w:rPr>
      <w:rFonts w:asciiTheme="majorHAnsi" w:hAnsiTheme="majorHAnsi" w:eastAsiaTheme="majorEastAsia" w:cstheme="majorBidi"/>
      <w:color w:val="5B9BD5" w:themeColor="accent1"/>
      <w:kern w:val="28"/>
      <w:sz w:val="60"/>
      <w:szCs w:val="60"/>
      <w14:textFill>
        <w14:solidFill>
          <w14:schemeClr w14:val="accent1"/>
        </w14:solidFill>
      </w14:textFill>
    </w:rPr>
  </w:style>
  <w:style w:type="character" w:customStyle="1" w:styleId="16">
    <w:name w:val="副标题 字符"/>
    <w:basedOn w:val="10"/>
    <w:link w:val="5"/>
    <w:autoRedefine/>
    <w:qFormat/>
    <w:uiPriority w:val="3"/>
    <w:rPr>
      <w:rFonts w:asciiTheme="majorHAnsi" w:hAnsiTheme="majorHAnsi" w:eastAsiaTheme="majorEastAsia" w:cstheme="majorBidi"/>
      <w:caps/>
      <w:color w:val="44546A" w:themeColor="text2"/>
      <w:kern w:val="0"/>
      <w:sz w:val="26"/>
      <w:szCs w:val="26"/>
      <w14:textFill>
        <w14:solidFill>
          <w14:schemeClr w14:val="tx2"/>
        </w14:solidFill>
      </w14:textFill>
    </w:rPr>
  </w:style>
  <w:style w:type="paragraph" w:customStyle="1" w:styleId="17">
    <w:name w:val="照片"/>
    <w:basedOn w:val="1"/>
    <w:autoRedefine/>
    <w:qFormat/>
    <w:uiPriority w:val="1"/>
    <w:pPr>
      <w:widowControl/>
      <w:spacing w:before="2400" w:after="400" w:line="264" w:lineRule="auto"/>
      <w:jc w:val="center"/>
    </w:pPr>
    <w:rPr>
      <w:color w:val="44546A" w:themeColor="text2"/>
      <w:kern w:val="0"/>
      <w:sz w:val="22"/>
      <w14:textFill>
        <w14:solidFill>
          <w14:schemeClr w14:val="tx2"/>
        </w14:solidFill>
      </w14:textFill>
    </w:rPr>
  </w:style>
  <w:style w:type="character" w:customStyle="1" w:styleId="18">
    <w:name w:val="批注框文本 字符"/>
    <w:basedOn w:val="10"/>
    <w:link w:val="2"/>
    <w:autoRedefine/>
    <w:semiHidden/>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4" Type="http://schemas.openxmlformats.org/officeDocument/2006/relationships/fontTable" Target="fontTable.xml"/><Relationship Id="rId23" Type="http://schemas.openxmlformats.org/officeDocument/2006/relationships/numbering" Target="numbering.xml"/><Relationship Id="rId22" Type="http://schemas.openxmlformats.org/officeDocument/2006/relationships/customXml" Target="../customXml/item1.xml"/><Relationship Id="rId21" Type="http://schemas.openxmlformats.org/officeDocument/2006/relationships/image" Target="media/image18.jpeg"/><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jpe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10</Pages>
  <Words>4686</Words>
  <Characters>4730</Characters>
  <Lines>40</Lines>
  <Paragraphs>11</Paragraphs>
  <TotalTime>11</TotalTime>
  <ScaleCrop>false</ScaleCrop>
  <LinksUpToDate>false</LinksUpToDate>
  <CharactersWithSpaces>4753</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2018-11-13T05:45:00Z</dcterms:created>
  <dc:creator>Administrator</dc:creator>
  <cp:lastModifiedBy>胡玮</cp:lastModifiedBy>
  <dcterms:modified xsi:type="dcterms:W3CDTF">2025-02-19T07:37:42Z</dcterms:modified>
  <cp:revision>186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D58AD51012A7482FA294745BF5CA7975_13</vt:lpwstr>
  </property>
  <property fmtid="{D5CDD505-2E9C-101B-9397-08002B2CF9AE}" pid="4" name="KSOTemplateDocerSaveRecord">
    <vt:lpwstr>eyJoZGlkIjoiNGQxZmM0MDdhMTE3ODhmNDU1N2Q1NjM4YjM3MTExOTIiLCJ1c2VySWQiOiI3MjIwMjU2MjIifQ==</vt:lpwstr>
  </property>
</Properties>
</file>