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38EE29DB">
      <w:pPr>
        <w:pStyle w:val="16"/>
        <w:rPr>
          <w:rFonts w:hint="eastAsia" w:ascii="宋体" w:hAnsi="宋体" w:eastAsia="宋体"/>
          <w:color w:val="auto"/>
          <w:sz w:val="21"/>
          <w:szCs w:val="21"/>
        </w:rPr>
      </w:pPr>
      <w:r>
        <w:rPr>
          <w:rFonts w:hint="eastAsia"/>
        </w:rPr>
        <w:drawing>
          <wp:anchor distT="0" distB="0" distL="114300" distR="114300" simplePos="0" relativeHeight="251662336" behindDoc="0" locked="0" layoutInCell="1" allowOverlap="1">
            <wp:simplePos x="0" y="0"/>
            <wp:positionH relativeFrom="column">
              <wp:posOffset>-753110</wp:posOffset>
            </wp:positionH>
            <wp:positionV relativeFrom="paragraph">
              <wp:posOffset>-760730</wp:posOffset>
            </wp:positionV>
            <wp:extent cx="2473325" cy="614045"/>
            <wp:effectExtent l="0" t="0" r="3175" b="14605"/>
            <wp:wrapNone/>
            <wp:docPr id="11" name="图片 11" descr="（新）学校主标识（305高）"/>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新）学校主标识（305高）"/>
                    <pic:cNvPicPr>
                      <a:picLocks noChangeAspect="1"/>
                    </pic:cNvPicPr>
                  </pic:nvPicPr>
                  <pic:blipFill>
                    <a:blip r:embed="rId4"/>
                    <a:stretch>
                      <a:fillRect/>
                    </a:stretch>
                  </pic:blipFill>
                  <pic:spPr>
                    <a:xfrm>
                      <a:off x="0" y="0"/>
                      <a:ext cx="2473325" cy="614045"/>
                    </a:xfrm>
                    <a:prstGeom prst="rect">
                      <a:avLst/>
                    </a:prstGeom>
                  </pic:spPr>
                </pic:pic>
              </a:graphicData>
            </a:graphic>
          </wp:anchor>
        </w:drawing>
      </w:r>
      <w:r>
        <w:rPr>
          <w:sz w:val="18"/>
        </w:rPr>
        <mc:AlternateContent>
          <mc:Choice Requires="wps">
            <w:drawing>
              <wp:anchor distT="0" distB="0" distL="114300" distR="114300" simplePos="0" relativeHeight="251660288" behindDoc="0" locked="0" layoutInCell="1" allowOverlap="1">
                <wp:simplePos x="0" y="0"/>
                <wp:positionH relativeFrom="column">
                  <wp:posOffset>-594995</wp:posOffset>
                </wp:positionH>
                <wp:positionV relativeFrom="paragraph">
                  <wp:posOffset>1012190</wp:posOffset>
                </wp:positionV>
                <wp:extent cx="6480175" cy="1948815"/>
                <wp:effectExtent l="0" t="0" r="0" b="0"/>
                <wp:wrapNone/>
                <wp:docPr id="6" name="文本框 6"/>
                <wp:cNvGraphicFramePr/>
                <a:graphic xmlns:a="http://schemas.openxmlformats.org/drawingml/2006/main">
                  <a:graphicData uri="http://schemas.microsoft.com/office/word/2010/wordprocessingShape">
                    <wps:wsp>
                      <wps:cNvSpPr txBox="1"/>
                      <wps:spPr>
                        <a:xfrm>
                          <a:off x="0" y="0"/>
                          <a:ext cx="6480175" cy="1948815"/>
                        </a:xfrm>
                        <a:prstGeom prst="rect">
                          <a:avLst/>
                        </a:prstGeom>
                        <a:noFill/>
                        <a:ln w="6350">
                          <a:noFill/>
                        </a:ln>
                        <a:effectLst/>
                      </wps:spPr>
                      <wps:txbx>
                        <w:txbxContent>
                          <w:p w14:paraId="7F615672">
                            <w:pPr>
                              <w:jc w:val="center"/>
                              <w:rPr>
                                <w:rFonts w:hint="eastAsia" w:ascii="微软雅黑" w:hAnsi="微软雅黑" w:eastAsia="微软雅黑" w:cs="微软雅黑"/>
                                <w:b/>
                                <w:bCs/>
                                <w:color w:val="404040" w:themeColor="text1" w:themeTint="BF"/>
                                <w:sz w:val="80"/>
                                <w:szCs w:val="80"/>
                                <w14:textFill>
                                  <w14:solidFill>
                                    <w14:schemeClr w14:val="tx1">
                                      <w14:lumMod w14:val="75000"/>
                                      <w14:lumOff w14:val="25000"/>
                                    </w14:schemeClr>
                                  </w14:solidFill>
                                </w14:textFill>
                              </w:rPr>
                            </w:pPr>
                            <w:r>
                              <w:rPr>
                                <w:rFonts w:hint="eastAsia" w:ascii="微软雅黑" w:hAnsi="微软雅黑" w:eastAsia="微软雅黑" w:cs="微软雅黑"/>
                                <w:b/>
                                <w:bCs/>
                                <w:color w:val="404040" w:themeColor="text1" w:themeTint="BF"/>
                                <w:sz w:val="80"/>
                                <w:szCs w:val="80"/>
                                <w14:textFill>
                                  <w14:solidFill>
                                    <w14:schemeClr w14:val="tx1">
                                      <w14:lumMod w14:val="75000"/>
                                      <w14:lumOff w14:val="25000"/>
                                    </w14:schemeClr>
                                  </w14:solidFill>
                                </w14:textFill>
                              </w:rPr>
                              <w:t>苏州市公共文化中心</w:t>
                            </w:r>
                          </w:p>
                          <w:p w14:paraId="543E4A40">
                            <w:pPr>
                              <w:jc w:val="center"/>
                              <w:rPr>
                                <w:rFonts w:hint="eastAsia" w:ascii="微软雅黑" w:hAnsi="微软雅黑" w:eastAsia="微软雅黑" w:cs="微软雅黑"/>
                                <w:color w:val="404040" w:themeColor="text1" w:themeTint="BF"/>
                                <w:sz w:val="80"/>
                                <w:szCs w:val="80"/>
                                <w14:textFill>
                                  <w14:solidFill>
                                    <w14:schemeClr w14:val="tx1">
                                      <w14:lumMod w14:val="75000"/>
                                      <w14:lumOff w14:val="25000"/>
                                    </w14:schemeClr>
                                  </w14:solidFill>
                                </w14:textFill>
                              </w:rPr>
                            </w:pPr>
                            <w:r>
                              <w:rPr>
                                <w:rFonts w:hint="eastAsia" w:ascii="微软雅黑" w:hAnsi="微软雅黑" w:eastAsia="微软雅黑" w:cs="微软雅黑"/>
                                <w:b/>
                                <w:bCs/>
                                <w:color w:val="404040" w:themeColor="text1" w:themeTint="BF"/>
                                <w:spacing w:val="113"/>
                                <w:sz w:val="80"/>
                                <w:szCs w:val="80"/>
                                <w14:textFill>
                                  <w14:solidFill>
                                    <w14:schemeClr w14:val="tx1">
                                      <w14:lumMod w14:val="75000"/>
                                      <w14:lumOff w14:val="25000"/>
                                    </w14:schemeClr>
                                  </w14:solidFill>
                                </w14:textFill>
                              </w:rPr>
                              <w:t>企业年报</w:t>
                            </w:r>
                          </w:p>
                          <w:p w14:paraId="74B35662">
                            <w:pPr>
                              <w:jc w:val="center"/>
                              <w:rPr>
                                <w:rFonts w:hint="eastAsia" w:ascii="微软雅黑" w:hAnsi="微软雅黑" w:eastAsia="微软雅黑" w:cs="微软雅黑"/>
                                <w:b/>
                                <w:bCs/>
                                <w:color w:val="404040" w:themeColor="text1" w:themeTint="BF"/>
                                <w:sz w:val="72"/>
                                <w:szCs w:val="72"/>
                                <w14:textFill>
                                  <w14:solidFill>
                                    <w14:schemeClr w14:val="tx1">
                                      <w14:lumMod w14:val="75000"/>
                                      <w14:lumOff w14:val="25000"/>
                                    </w14:schemeClr>
                                  </w14:solidFill>
                                </w14:textFill>
                              </w:rPr>
                            </w:pP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46.85pt;margin-top:79.7pt;height:153.45pt;width:510.25pt;z-index:251660288;mso-width-relative:page;mso-height-relative:page;" filled="f" stroked="f" coordsize="21600,21600" o:gfxdata="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">
                <v:fill on="f" focussize="0,0"/>
                <v:stroke on="f" weight="0.5pt"/>
                <v:imagedata o:title=""/>
                <o:lock v:ext="edit" aspectratio="f"/>
                <v:textbox>
                  <w:txbxContent>
                    <w:p w14:paraId="7F615672">
                      <w:pPr>
                        <w:jc w:val="center"/>
                        <w:rPr>
                          <w:rFonts w:hint="eastAsia" w:ascii="微软雅黑" w:hAnsi="微软雅黑" w:eastAsia="微软雅黑" w:cs="微软雅黑"/>
                          <w:b/>
                          <w:bCs/>
                          <w:color w:val="404040" w:themeColor="text1" w:themeTint="BF"/>
                          <w:sz w:val="80"/>
                          <w:szCs w:val="80"/>
                          <w14:textFill>
                            <w14:solidFill>
                              <w14:schemeClr w14:val="tx1">
                                <w14:lumMod w14:val="75000"/>
                                <w14:lumOff w14:val="25000"/>
                              </w14:schemeClr>
                            </w14:solidFill>
                          </w14:textFill>
                        </w:rPr>
                      </w:pPr>
                      <w:r>
                        <w:rPr>
                          <w:rFonts w:hint="eastAsia" w:ascii="微软雅黑" w:hAnsi="微软雅黑" w:eastAsia="微软雅黑" w:cs="微软雅黑"/>
                          <w:b/>
                          <w:bCs/>
                          <w:color w:val="404040" w:themeColor="text1" w:themeTint="BF"/>
                          <w:sz w:val="80"/>
                          <w:szCs w:val="80"/>
                          <w14:textFill>
                            <w14:solidFill>
                              <w14:schemeClr w14:val="tx1">
                                <w14:lumMod w14:val="75000"/>
                                <w14:lumOff w14:val="25000"/>
                              </w14:schemeClr>
                            </w14:solidFill>
                          </w14:textFill>
                        </w:rPr>
                        <w:t>苏州市公共文化中心</w:t>
                      </w:r>
                    </w:p>
                    <w:p w14:paraId="543E4A40">
                      <w:pPr>
                        <w:jc w:val="center"/>
                        <w:rPr>
                          <w:rFonts w:hint="eastAsia" w:ascii="微软雅黑" w:hAnsi="微软雅黑" w:eastAsia="微软雅黑" w:cs="微软雅黑"/>
                          <w:color w:val="404040" w:themeColor="text1" w:themeTint="BF"/>
                          <w:sz w:val="80"/>
                          <w:szCs w:val="80"/>
                          <w14:textFill>
                            <w14:solidFill>
                              <w14:schemeClr w14:val="tx1">
                                <w14:lumMod w14:val="75000"/>
                                <w14:lumOff w14:val="25000"/>
                              </w14:schemeClr>
                            </w14:solidFill>
                          </w14:textFill>
                        </w:rPr>
                      </w:pPr>
                      <w:r>
                        <w:rPr>
                          <w:rFonts w:hint="eastAsia" w:ascii="微软雅黑" w:hAnsi="微软雅黑" w:eastAsia="微软雅黑" w:cs="微软雅黑"/>
                          <w:b/>
                          <w:bCs/>
                          <w:color w:val="404040" w:themeColor="text1" w:themeTint="BF"/>
                          <w:spacing w:val="113"/>
                          <w:sz w:val="80"/>
                          <w:szCs w:val="80"/>
                          <w14:textFill>
                            <w14:solidFill>
                              <w14:schemeClr w14:val="tx1">
                                <w14:lumMod w14:val="75000"/>
                                <w14:lumOff w14:val="25000"/>
                              </w14:schemeClr>
                            </w14:solidFill>
                          </w14:textFill>
                        </w:rPr>
                        <w:t>企业年报</w:t>
                      </w:r>
                    </w:p>
                    <w:p w14:paraId="74B35662">
                      <w:pPr>
                        <w:jc w:val="center"/>
                        <w:rPr>
                          <w:rFonts w:hint="eastAsia" w:ascii="微软雅黑" w:hAnsi="微软雅黑" w:eastAsia="微软雅黑" w:cs="微软雅黑"/>
                          <w:b/>
                          <w:bCs/>
                          <w:color w:val="404040" w:themeColor="text1" w:themeTint="BF"/>
                          <w:sz w:val="72"/>
                          <w:szCs w:val="72"/>
                          <w14:textFill>
                            <w14:solidFill>
                              <w14:schemeClr w14:val="tx1">
                                <w14:lumMod w14:val="75000"/>
                                <w14:lumOff w14:val="25000"/>
                              </w14:schemeClr>
                            </w14:solidFill>
                          </w14:textFill>
                        </w:rPr>
                      </w:pPr>
                    </w:p>
                  </w:txbxContent>
                </v:textbox>
              </v:shape>
            </w:pict>
          </mc:Fallback>
        </mc:AlternateContent>
      </w:r>
      <w:bookmarkStart w:id="0" w:name="_GoBack"/>
      <w:bookmarkEnd w:id="0"/>
      <w:r>
        <w:rPr>
          <w:sz w:val="18"/>
        </w:rPr>
        <mc:AlternateContent>
          <mc:Choice Requires="wps">
            <w:drawing>
              <wp:anchor distT="0" distB="0" distL="114300" distR="114300" simplePos="0" relativeHeight="251661312" behindDoc="0" locked="0" layoutInCell="1" allowOverlap="1">
                <wp:simplePos x="0" y="0"/>
                <wp:positionH relativeFrom="column">
                  <wp:posOffset>-448945</wp:posOffset>
                </wp:positionH>
                <wp:positionV relativeFrom="paragraph">
                  <wp:posOffset>6170295</wp:posOffset>
                </wp:positionV>
                <wp:extent cx="6480175" cy="3133090"/>
                <wp:effectExtent l="0" t="0" r="0" b="0"/>
                <wp:wrapNone/>
                <wp:docPr id="23" name="文本框 23"/>
                <wp:cNvGraphicFramePr/>
                <a:graphic xmlns:a="http://schemas.openxmlformats.org/drawingml/2006/main">
                  <a:graphicData uri="http://schemas.microsoft.com/office/word/2010/wordprocessingShape">
                    <wps:wsp>
                      <wps:cNvSpPr txBox="1"/>
                      <wps:spPr>
                        <a:xfrm>
                          <a:off x="0" y="0"/>
                          <a:ext cx="6480175" cy="3133090"/>
                        </a:xfrm>
                        <a:prstGeom prst="rect">
                          <a:avLst/>
                        </a:prstGeom>
                        <a:noFill/>
                        <a:ln w="6350">
                          <a:noFill/>
                        </a:ln>
                        <a:effectLst/>
                      </wps:spPr>
                      <wps:txbx>
                        <w:txbxContent>
                          <w:p w14:paraId="403BF846">
                            <w:pPr>
                              <w:jc w:val="right"/>
                              <w:rPr>
                                <w:rFonts w:hint="eastAsia" w:ascii="微软雅黑" w:hAnsi="微软雅黑" w:eastAsia="微软雅黑" w:cs="微软雅黑"/>
                                <w:b/>
                                <w:bCs/>
                                <w:color w:val="F9FBFA"/>
                                <w:sz w:val="160"/>
                                <w:szCs w:val="160"/>
                              </w:rPr>
                            </w:pPr>
                            <w:r>
                              <w:rPr>
                                <w:rFonts w:hint="eastAsia" w:ascii="微软雅黑" w:hAnsi="微软雅黑" w:eastAsia="微软雅黑" w:cs="微软雅黑"/>
                                <w:b/>
                                <w:bCs/>
                                <w:color w:val="F9FBFA"/>
                                <w:sz w:val="160"/>
                                <w:szCs w:val="160"/>
                              </w:rPr>
                              <w:t>2024</w:t>
                            </w:r>
                          </w:p>
                          <w:p w14:paraId="57B05BB6">
                            <w:pPr>
                              <w:jc w:val="center"/>
                              <w:rPr>
                                <w:rFonts w:hint="eastAsia" w:ascii="微软雅黑" w:hAnsi="微软雅黑" w:eastAsia="微软雅黑" w:cs="微软雅黑"/>
                                <w:b/>
                                <w:bCs/>
                                <w:color w:val="F9FBFA"/>
                                <w:sz w:val="28"/>
                                <w:szCs w:val="28"/>
                              </w:rPr>
                            </w:pPr>
                          </w:p>
                          <w:p w14:paraId="23BB3D7F">
                            <w:pPr>
                              <w:jc w:val="center"/>
                              <w:rPr>
                                <w:rFonts w:hint="eastAsia" w:ascii="微软雅黑" w:hAnsi="微软雅黑" w:eastAsia="微软雅黑" w:cs="微软雅黑"/>
                                <w:b/>
                                <w:bCs/>
                                <w:color w:val="F9FBFA"/>
                                <w:sz w:val="28"/>
                                <w:szCs w:val="28"/>
                              </w:rPr>
                            </w:pPr>
                            <w:r>
                              <w:rPr>
                                <w:rFonts w:hint="eastAsia" w:ascii="微软雅黑" w:hAnsi="微软雅黑" w:eastAsia="微软雅黑" w:cs="微软雅黑"/>
                                <w:b/>
                                <w:bCs/>
                                <w:color w:val="F9FBFA"/>
                                <w:sz w:val="28"/>
                                <w:szCs w:val="28"/>
                              </w:rPr>
                              <w:t>苏州高博职业学院</w:t>
                            </w:r>
                          </w:p>
                          <w:p w14:paraId="6132E596">
                            <w:pPr>
                              <w:jc w:val="center"/>
                              <w:rPr>
                                <w:rFonts w:hint="eastAsia" w:ascii="微软雅黑" w:hAnsi="微软雅黑" w:eastAsia="微软雅黑" w:cs="微软雅黑"/>
                                <w:b/>
                                <w:bCs/>
                                <w:color w:val="F9FBFA"/>
                                <w:sz w:val="28"/>
                                <w:szCs w:val="28"/>
                              </w:rPr>
                            </w:pPr>
                            <w:r>
                              <w:rPr>
                                <w:rFonts w:hint="eastAsia" w:ascii="微软雅黑" w:hAnsi="微软雅黑" w:eastAsia="微软雅黑" w:cs="微软雅黑"/>
                                <w:b/>
                                <w:bCs/>
                                <w:color w:val="F9FBFA"/>
                                <w:sz w:val="28"/>
                                <w:szCs w:val="28"/>
                              </w:rPr>
                              <w:t>二〇二四年十二月</w:t>
                            </w:r>
                          </w:p>
                          <w:p w14:paraId="789E8B06">
                            <w:pPr>
                              <w:rPr>
                                <w:rFonts w:hint="eastAsia" w:ascii="微软雅黑" w:hAnsi="微软雅黑" w:eastAsia="微软雅黑" w:cs="微软雅黑"/>
                                <w:b/>
                                <w:bCs/>
                                <w:color w:val="F9FBFA"/>
                                <w:sz w:val="24"/>
                                <w:szCs w:val="24"/>
                              </w:rPr>
                            </w:pPr>
                          </w:p>
                          <w:p w14:paraId="754855B8">
                            <w:pPr>
                              <w:jc w:val="right"/>
                              <w:rPr>
                                <w:rFonts w:hint="eastAsia" w:ascii="微软雅黑" w:hAnsi="微软雅黑" w:eastAsia="微软雅黑" w:cs="微软雅黑"/>
                                <w:b/>
                                <w:bCs/>
                                <w:color w:val="F9FBFA"/>
                                <w:sz w:val="160"/>
                                <w:szCs w:val="160"/>
                              </w:rPr>
                            </w:pP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35.35pt;margin-top:485.85pt;height:246.7pt;width:510.25pt;z-index:251661312;mso-width-relative:page;mso-height-relative:page;" filled="f" stroked="f" coordsize="21600,21600" o:gfxdata="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">
                <v:fill on="f" focussize="0,0"/>
                <v:stroke on="f" weight="0.5pt"/>
                <v:imagedata o:title=""/>
                <o:lock v:ext="edit" aspectratio="f"/>
                <v:textbox>
                  <w:txbxContent>
                    <w:p w14:paraId="403BF846">
                      <w:pPr>
                        <w:jc w:val="right"/>
                        <w:rPr>
                          <w:rFonts w:hint="eastAsia" w:ascii="微软雅黑" w:hAnsi="微软雅黑" w:eastAsia="微软雅黑" w:cs="微软雅黑"/>
                          <w:b/>
                          <w:bCs/>
                          <w:color w:val="F9FBFA"/>
                          <w:sz w:val="160"/>
                          <w:szCs w:val="160"/>
                        </w:rPr>
                      </w:pPr>
                      <w:r>
                        <w:rPr>
                          <w:rFonts w:hint="eastAsia" w:ascii="微软雅黑" w:hAnsi="微软雅黑" w:eastAsia="微软雅黑" w:cs="微软雅黑"/>
                          <w:b/>
                          <w:bCs/>
                          <w:color w:val="F9FBFA"/>
                          <w:sz w:val="160"/>
                          <w:szCs w:val="160"/>
                        </w:rPr>
                        <w:t>2024</w:t>
                      </w:r>
                    </w:p>
                    <w:p w14:paraId="57B05BB6">
                      <w:pPr>
                        <w:jc w:val="center"/>
                        <w:rPr>
                          <w:rFonts w:hint="eastAsia" w:ascii="微软雅黑" w:hAnsi="微软雅黑" w:eastAsia="微软雅黑" w:cs="微软雅黑"/>
                          <w:b/>
                          <w:bCs/>
                          <w:color w:val="F9FBFA"/>
                          <w:sz w:val="28"/>
                          <w:szCs w:val="28"/>
                        </w:rPr>
                      </w:pPr>
                    </w:p>
                    <w:p w14:paraId="23BB3D7F">
                      <w:pPr>
                        <w:jc w:val="center"/>
                        <w:rPr>
                          <w:rFonts w:hint="eastAsia" w:ascii="微软雅黑" w:hAnsi="微软雅黑" w:eastAsia="微软雅黑" w:cs="微软雅黑"/>
                          <w:b/>
                          <w:bCs/>
                          <w:color w:val="F9FBFA"/>
                          <w:sz w:val="28"/>
                          <w:szCs w:val="28"/>
                        </w:rPr>
                      </w:pPr>
                      <w:r>
                        <w:rPr>
                          <w:rFonts w:hint="eastAsia" w:ascii="微软雅黑" w:hAnsi="微软雅黑" w:eastAsia="微软雅黑" w:cs="微软雅黑"/>
                          <w:b/>
                          <w:bCs/>
                          <w:color w:val="F9FBFA"/>
                          <w:sz w:val="28"/>
                          <w:szCs w:val="28"/>
                        </w:rPr>
                        <w:t>苏州高博职业学院</w:t>
                      </w:r>
                    </w:p>
                    <w:p w14:paraId="6132E596">
                      <w:pPr>
                        <w:jc w:val="center"/>
                        <w:rPr>
                          <w:rFonts w:hint="eastAsia" w:ascii="微软雅黑" w:hAnsi="微软雅黑" w:eastAsia="微软雅黑" w:cs="微软雅黑"/>
                          <w:b/>
                          <w:bCs/>
                          <w:color w:val="F9FBFA"/>
                          <w:sz w:val="28"/>
                          <w:szCs w:val="28"/>
                        </w:rPr>
                      </w:pPr>
                      <w:r>
                        <w:rPr>
                          <w:rFonts w:hint="eastAsia" w:ascii="微软雅黑" w:hAnsi="微软雅黑" w:eastAsia="微软雅黑" w:cs="微软雅黑"/>
                          <w:b/>
                          <w:bCs/>
                          <w:color w:val="F9FBFA"/>
                          <w:sz w:val="28"/>
                          <w:szCs w:val="28"/>
                        </w:rPr>
                        <w:t>二〇二四年十二月</w:t>
                      </w:r>
                    </w:p>
                    <w:p w14:paraId="789E8B06">
                      <w:pPr>
                        <w:rPr>
                          <w:rFonts w:hint="eastAsia" w:ascii="微软雅黑" w:hAnsi="微软雅黑" w:eastAsia="微软雅黑" w:cs="微软雅黑"/>
                          <w:b/>
                          <w:bCs/>
                          <w:color w:val="F9FBFA"/>
                          <w:sz w:val="24"/>
                          <w:szCs w:val="24"/>
                        </w:rPr>
                      </w:pPr>
                    </w:p>
                    <w:p w14:paraId="754855B8">
                      <w:pPr>
                        <w:jc w:val="right"/>
                        <w:rPr>
                          <w:rFonts w:hint="eastAsia" w:ascii="微软雅黑" w:hAnsi="微软雅黑" w:eastAsia="微软雅黑" w:cs="微软雅黑"/>
                          <w:b/>
                          <w:bCs/>
                          <w:color w:val="F9FBFA"/>
                          <w:sz w:val="160"/>
                          <w:szCs w:val="160"/>
                        </w:rPr>
                      </w:pPr>
                    </w:p>
                  </w:txbxContent>
                </v:textbox>
              </v:shape>
            </w:pict>
          </mc:Fallback>
        </mc:AlternateContent>
      </w:r>
      <w:r>
        <w:rPr>
          <w:rFonts w:hint="eastAsia"/>
        </w:rPr>
        <w:drawing>
          <wp:anchor distT="0" distB="0" distL="114300" distR="114300" simplePos="0" relativeHeight="251659264" behindDoc="1" locked="0" layoutInCell="1" allowOverlap="1">
            <wp:simplePos x="0" y="0"/>
            <wp:positionH relativeFrom="column">
              <wp:posOffset>-1008380</wp:posOffset>
            </wp:positionH>
            <wp:positionV relativeFrom="paragraph">
              <wp:posOffset>-1080135</wp:posOffset>
            </wp:positionV>
            <wp:extent cx="7574280" cy="10714355"/>
            <wp:effectExtent l="0" t="0" r="7620" b="4445"/>
            <wp:wrapNone/>
            <wp:docPr id="24" name="ABU设计" descr="F:\稻壳-阿源设计\H活动供稿\2019-08-08-封面\3-项目计划-10-10\改\9.jpg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ABU设计" descr="F:\稻壳-阿源设计\H活动供稿\2019-08-08-封面\3-项目计划-10-10\改\9.jpg9"/>
                    <pic:cNvPicPr>
                      <a:picLocks noChangeAspect="1"/>
                    </pic:cNvPicPr>
                  </pic:nvPicPr>
                  <pic:blipFill>
                    <a:blip r:embed="rId5"/>
                    <a:srcRect/>
                    <a:stretch>
                      <a:fillRect/>
                    </a:stretch>
                  </pic:blipFill>
                  <pic:spPr>
                    <a:xfrm>
                      <a:off x="0" y="0"/>
                      <a:ext cx="7574280" cy="10714355"/>
                    </a:xfrm>
                    <a:prstGeom prst="rect">
                      <a:avLst/>
                    </a:prstGeom>
                    <a:ln>
                      <a:noFill/>
                    </a:ln>
                  </pic:spPr>
                </pic:pic>
              </a:graphicData>
            </a:graphic>
          </wp:anchor>
        </w:drawing>
      </w:r>
    </w:p>
    <w:p w14:paraId="23C87EA4">
      <w:pPr>
        <w:ind w:firstLine="422" w:firstLineChars="200"/>
        <w:rPr>
          <w:rFonts w:hint="eastAsia" w:ascii="宋体" w:hAnsi="宋体" w:eastAsia="宋体"/>
          <w:b/>
          <w:szCs w:val="21"/>
        </w:rPr>
      </w:pPr>
    </w:p>
    <w:p w14:paraId="5DAF2960">
      <w:pPr>
        <w:ind w:firstLine="422" w:firstLineChars="200"/>
        <w:rPr>
          <w:rFonts w:hint="eastAsia" w:ascii="宋体" w:hAnsi="宋体" w:eastAsia="宋体"/>
          <w:b/>
          <w:szCs w:val="21"/>
        </w:rPr>
      </w:pPr>
    </w:p>
    <w:p w14:paraId="23D332E0">
      <w:pPr>
        <w:ind w:firstLine="422" w:firstLineChars="200"/>
        <w:rPr>
          <w:rFonts w:hint="eastAsia" w:ascii="宋体" w:hAnsi="宋体" w:eastAsia="宋体"/>
          <w:b/>
          <w:szCs w:val="21"/>
        </w:rPr>
      </w:pPr>
    </w:p>
    <w:p w14:paraId="78537D89">
      <w:pPr>
        <w:ind w:firstLine="422" w:firstLineChars="200"/>
        <w:rPr>
          <w:rFonts w:hint="eastAsia" w:ascii="宋体" w:hAnsi="宋体" w:eastAsia="宋体"/>
          <w:b/>
          <w:szCs w:val="21"/>
        </w:rPr>
      </w:pPr>
    </w:p>
    <w:p w14:paraId="3603D985">
      <w:pPr>
        <w:ind w:firstLine="422" w:firstLineChars="200"/>
        <w:rPr>
          <w:rFonts w:hint="eastAsia" w:ascii="宋体" w:hAnsi="宋体" w:eastAsia="宋体"/>
          <w:b/>
          <w:szCs w:val="21"/>
        </w:rPr>
      </w:pPr>
    </w:p>
    <w:p w14:paraId="4CBC9AC2">
      <w:pPr>
        <w:ind w:firstLine="422" w:firstLineChars="200"/>
        <w:rPr>
          <w:rFonts w:hint="eastAsia" w:ascii="宋体" w:hAnsi="宋体" w:eastAsia="宋体"/>
          <w:b/>
          <w:szCs w:val="21"/>
        </w:rPr>
      </w:pPr>
    </w:p>
    <w:p w14:paraId="7A89DD57">
      <w:pPr>
        <w:ind w:firstLine="422" w:firstLineChars="200"/>
        <w:rPr>
          <w:rFonts w:hint="eastAsia" w:ascii="宋体" w:hAnsi="宋体" w:eastAsia="宋体"/>
          <w:b/>
          <w:szCs w:val="21"/>
        </w:rPr>
      </w:pPr>
    </w:p>
    <w:p w14:paraId="15FD3CC8">
      <w:pPr>
        <w:ind w:firstLine="422" w:firstLineChars="200"/>
        <w:rPr>
          <w:rFonts w:hint="eastAsia" w:ascii="宋体" w:hAnsi="宋体" w:eastAsia="宋体"/>
          <w:b/>
          <w:szCs w:val="21"/>
        </w:rPr>
      </w:pPr>
    </w:p>
    <w:p w14:paraId="2F1186F8">
      <w:pPr>
        <w:ind w:firstLine="422" w:firstLineChars="200"/>
        <w:rPr>
          <w:rFonts w:hint="eastAsia" w:ascii="宋体" w:hAnsi="宋体" w:eastAsia="宋体"/>
          <w:b/>
          <w:szCs w:val="21"/>
        </w:rPr>
      </w:pPr>
    </w:p>
    <w:p w14:paraId="4E73A86B">
      <w:pPr>
        <w:ind w:firstLine="422" w:firstLineChars="200"/>
        <w:rPr>
          <w:rFonts w:hint="eastAsia" w:ascii="宋体" w:hAnsi="宋体" w:eastAsia="宋体"/>
          <w:b/>
          <w:szCs w:val="21"/>
        </w:rPr>
      </w:pPr>
    </w:p>
    <w:p w14:paraId="4610DFEC">
      <w:pPr>
        <w:ind w:firstLine="422" w:firstLineChars="200"/>
        <w:rPr>
          <w:rFonts w:hint="eastAsia" w:ascii="宋体" w:hAnsi="宋体" w:eastAsia="宋体"/>
          <w:b/>
          <w:szCs w:val="21"/>
        </w:rPr>
      </w:pPr>
    </w:p>
    <w:p w14:paraId="106B2C6A">
      <w:pPr>
        <w:rPr>
          <w:rFonts w:hint="eastAsia" w:ascii="宋体" w:hAnsi="宋体" w:eastAsia="宋体"/>
          <w:b/>
          <w:szCs w:val="21"/>
        </w:rPr>
      </w:pPr>
    </w:p>
    <w:p w14:paraId="7A93A383">
      <w:pPr>
        <w:ind w:firstLine="422" w:firstLineChars="200"/>
        <w:rPr>
          <w:rFonts w:hint="eastAsia" w:ascii="宋体" w:hAnsi="宋体" w:eastAsia="宋体"/>
          <w:b/>
          <w:szCs w:val="21"/>
        </w:rPr>
      </w:pPr>
    </w:p>
    <w:p w14:paraId="0CF4E3F6">
      <w:pPr>
        <w:ind w:firstLine="422" w:firstLineChars="200"/>
        <w:rPr>
          <w:rFonts w:hint="eastAsia" w:ascii="宋体" w:hAnsi="宋体" w:eastAsia="宋体"/>
          <w:b/>
          <w:szCs w:val="21"/>
        </w:rPr>
      </w:pPr>
    </w:p>
    <w:p w14:paraId="29DA0226">
      <w:pPr>
        <w:ind w:firstLine="422" w:firstLineChars="200"/>
        <w:rPr>
          <w:rFonts w:hint="eastAsia" w:ascii="宋体" w:hAnsi="宋体" w:eastAsia="宋体"/>
          <w:b/>
          <w:szCs w:val="21"/>
        </w:rPr>
      </w:pPr>
    </w:p>
    <w:p w14:paraId="2B9144F9">
      <w:pPr>
        <w:ind w:firstLine="422" w:firstLineChars="200"/>
        <w:rPr>
          <w:rFonts w:hint="eastAsia" w:ascii="宋体" w:hAnsi="宋体" w:eastAsia="宋体"/>
          <w:b/>
          <w:szCs w:val="21"/>
        </w:rPr>
      </w:pPr>
    </w:p>
    <w:p w14:paraId="7F0FBDC6">
      <w:pPr>
        <w:ind w:firstLine="422" w:firstLineChars="200"/>
        <w:rPr>
          <w:rFonts w:hint="eastAsia" w:ascii="宋体" w:hAnsi="宋体" w:eastAsia="宋体"/>
          <w:b/>
          <w:szCs w:val="21"/>
        </w:rPr>
      </w:pPr>
    </w:p>
    <w:p w14:paraId="19F05369">
      <w:pPr>
        <w:ind w:firstLine="422" w:firstLineChars="200"/>
        <w:rPr>
          <w:rFonts w:hint="eastAsia" w:ascii="宋体" w:hAnsi="宋体" w:eastAsia="宋体"/>
          <w:b/>
          <w:szCs w:val="21"/>
        </w:rPr>
      </w:pPr>
    </w:p>
    <w:p w14:paraId="33BCAE00">
      <w:pPr>
        <w:ind w:firstLine="422" w:firstLineChars="200"/>
        <w:rPr>
          <w:rFonts w:hint="eastAsia" w:ascii="宋体" w:hAnsi="宋体" w:eastAsia="宋体"/>
          <w:b/>
          <w:szCs w:val="21"/>
        </w:rPr>
      </w:pPr>
    </w:p>
    <w:p w14:paraId="686BFB15">
      <w:pPr>
        <w:ind w:firstLine="422" w:firstLineChars="200"/>
        <w:rPr>
          <w:rFonts w:hint="eastAsia" w:ascii="宋体" w:hAnsi="宋体" w:eastAsia="宋体"/>
          <w:b/>
          <w:szCs w:val="21"/>
        </w:rPr>
      </w:pPr>
    </w:p>
    <w:p w14:paraId="118C409B">
      <w:pPr>
        <w:ind w:firstLine="422" w:firstLineChars="200"/>
        <w:rPr>
          <w:rFonts w:hint="eastAsia" w:ascii="宋体" w:hAnsi="宋体" w:eastAsia="宋体"/>
          <w:b/>
          <w:szCs w:val="21"/>
        </w:rPr>
      </w:pPr>
    </w:p>
    <w:p w14:paraId="4C9723F8">
      <w:pPr>
        <w:ind w:firstLine="422" w:firstLineChars="200"/>
        <w:rPr>
          <w:rFonts w:hint="eastAsia" w:ascii="宋体" w:hAnsi="宋体" w:eastAsia="宋体"/>
          <w:b/>
          <w:szCs w:val="21"/>
        </w:rPr>
      </w:pPr>
    </w:p>
    <w:p w14:paraId="5D4BBAA2">
      <w:pPr>
        <w:ind w:firstLine="422" w:firstLineChars="200"/>
        <w:rPr>
          <w:rFonts w:hint="eastAsia" w:ascii="宋体" w:hAnsi="宋体" w:eastAsia="宋体"/>
          <w:b/>
          <w:szCs w:val="21"/>
        </w:rPr>
      </w:pPr>
    </w:p>
    <w:p w14:paraId="3D43B504">
      <w:pPr>
        <w:ind w:firstLine="422" w:firstLineChars="200"/>
        <w:rPr>
          <w:rFonts w:hint="eastAsia" w:ascii="宋体" w:hAnsi="宋体" w:eastAsia="宋体"/>
          <w:b/>
          <w:szCs w:val="21"/>
        </w:rPr>
      </w:pPr>
    </w:p>
    <w:p w14:paraId="69841DF6">
      <w:pPr>
        <w:ind w:firstLine="422" w:firstLineChars="200"/>
        <w:rPr>
          <w:rFonts w:hint="eastAsia" w:ascii="宋体" w:hAnsi="宋体" w:eastAsia="宋体"/>
          <w:b/>
          <w:szCs w:val="21"/>
        </w:rPr>
      </w:pPr>
    </w:p>
    <w:p w14:paraId="0C7E5976">
      <w:pPr>
        <w:ind w:firstLine="422" w:firstLineChars="200"/>
        <w:rPr>
          <w:rFonts w:hint="eastAsia" w:ascii="宋体" w:hAnsi="宋体" w:eastAsia="宋体"/>
          <w:b/>
          <w:szCs w:val="21"/>
        </w:rPr>
      </w:pPr>
    </w:p>
    <w:p w14:paraId="663AB757">
      <w:pPr>
        <w:ind w:firstLine="422" w:firstLineChars="200"/>
        <w:rPr>
          <w:rFonts w:hint="eastAsia" w:ascii="宋体" w:hAnsi="宋体" w:eastAsia="宋体"/>
          <w:b/>
          <w:szCs w:val="21"/>
        </w:rPr>
      </w:pPr>
    </w:p>
    <w:p w14:paraId="75987CA3">
      <w:pPr>
        <w:ind w:firstLine="422" w:firstLineChars="200"/>
        <w:rPr>
          <w:rFonts w:hint="eastAsia" w:ascii="宋体" w:hAnsi="宋体" w:eastAsia="宋体"/>
          <w:b/>
          <w:szCs w:val="21"/>
        </w:rPr>
      </w:pPr>
    </w:p>
    <w:p w14:paraId="75F278F7">
      <w:pPr>
        <w:ind w:firstLine="422" w:firstLineChars="200"/>
        <w:rPr>
          <w:rFonts w:hint="eastAsia" w:ascii="宋体" w:hAnsi="宋体" w:eastAsia="宋体"/>
          <w:b/>
          <w:szCs w:val="21"/>
        </w:rPr>
      </w:pPr>
    </w:p>
    <w:p w14:paraId="72179064">
      <w:pPr>
        <w:ind w:firstLine="422" w:firstLineChars="200"/>
        <w:rPr>
          <w:rFonts w:hint="eastAsia" w:ascii="宋体" w:hAnsi="宋体" w:eastAsia="宋体"/>
          <w:b/>
          <w:szCs w:val="21"/>
        </w:rPr>
      </w:pPr>
    </w:p>
    <w:p w14:paraId="0D0B457E">
      <w:pPr>
        <w:ind w:firstLine="422" w:firstLineChars="200"/>
        <w:rPr>
          <w:rFonts w:hint="eastAsia" w:ascii="宋体" w:hAnsi="宋体" w:eastAsia="宋体"/>
          <w:b/>
          <w:szCs w:val="21"/>
        </w:rPr>
      </w:pPr>
    </w:p>
    <w:p w14:paraId="04759B50">
      <w:pPr>
        <w:ind w:firstLine="422" w:firstLineChars="200"/>
        <w:rPr>
          <w:rFonts w:hint="eastAsia" w:ascii="宋体" w:hAnsi="宋体" w:eastAsia="宋体"/>
          <w:b/>
          <w:szCs w:val="21"/>
        </w:rPr>
      </w:pPr>
    </w:p>
    <w:p w14:paraId="2ED409CE">
      <w:pPr>
        <w:ind w:firstLine="422" w:firstLineChars="200"/>
        <w:rPr>
          <w:rFonts w:hint="eastAsia" w:ascii="宋体" w:hAnsi="宋体" w:eastAsia="宋体"/>
          <w:b/>
          <w:szCs w:val="21"/>
        </w:rPr>
      </w:pPr>
    </w:p>
    <w:p w14:paraId="1788F117">
      <w:pPr>
        <w:spacing w:before="156" w:beforeLines="50" w:after="156" w:afterLines="50" w:line="360" w:lineRule="auto"/>
        <w:ind w:firstLine="562" w:firstLineChars="200"/>
        <w:rPr>
          <w:rFonts w:hint="eastAsia" w:ascii="黑体" w:hAnsi="黑体" w:eastAsia="黑体" w:cs="黑体"/>
          <w:b/>
          <w:color w:val="000000" w:themeColor="text1"/>
          <w:sz w:val="28"/>
          <w:szCs w:val="28"/>
          <w14:textFill>
            <w14:solidFill>
              <w14:schemeClr w14:val="tx1"/>
            </w14:solidFill>
          </w14:textFill>
        </w:rPr>
      </w:pPr>
      <w:r>
        <w:rPr>
          <w:rFonts w:hint="eastAsia" w:ascii="黑体" w:hAnsi="黑体" w:eastAsia="黑体" w:cs="黑体"/>
          <w:b/>
          <w:color w:val="000000" w:themeColor="text1"/>
          <w:sz w:val="28"/>
          <w:szCs w:val="28"/>
          <w14:textFill>
            <w14:solidFill>
              <w14:schemeClr w14:val="tx1"/>
            </w14:solidFill>
          </w14:textFill>
        </w:rPr>
        <w:t>一、企业概况</w:t>
      </w:r>
    </w:p>
    <w:p w14:paraId="7B95BD3E">
      <w:pPr>
        <w:spacing w:line="360" w:lineRule="auto"/>
        <w:ind w:firstLine="480" w:firstLineChars="200"/>
        <w:rPr>
          <w:rFonts w:hint="eastAsia" w:ascii="仿宋_GB2312" w:hAnsi="仿宋_GB2312" w:eastAsia="仿宋_GB2312" w:cs="仿宋_GB2312"/>
          <w:b/>
          <w:szCs w:val="21"/>
        </w:rPr>
      </w:pPr>
      <w:r>
        <w:rPr>
          <w:rFonts w:hint="eastAsia" w:ascii="仿宋_GB2312" w:hAnsi="仿宋_GB2312" w:eastAsia="仿宋_GB2312" w:cs="仿宋_GB2312"/>
          <w:sz w:val="24"/>
          <w:szCs w:val="24"/>
          <w:shd w:val="clear" w:color="auto" w:fill="FFFFFF"/>
        </w:rPr>
        <w:t>苏州市公共文化中心坐落于人民路2075号，总建筑面积3.34万平方米。其地理位置得天独厚，东临北寺塔，西接朴园，北依昆剧院，南与丝绸博物馆相邻，在景观形态、文化活动、遗产保护等方面与桃花坞街区的历史风貌完美融合，在苏州古城区构建起一个集公共文化活动、艺术展览、爱国主义教育、非物质文化遗产展示以及市民休闲旅游等多功能于一体的综合性公共文化服务枢纽。中心还设有约2000平方米的文化广场，为各类公益性群众文化活动提供了广阔的开展空间。</w:t>
      </w:r>
    </w:p>
    <w:p w14:paraId="3A89F513">
      <w:pPr>
        <w:spacing w:before="156" w:beforeLines="50" w:after="156" w:afterLines="50" w:line="360" w:lineRule="auto"/>
        <w:ind w:firstLine="562" w:firstLineChars="200"/>
        <w:rPr>
          <w:rFonts w:hint="default" w:ascii="黑体" w:hAnsi="黑体" w:eastAsia="黑体" w:cs="黑体"/>
          <w:b/>
          <w:color w:val="000000" w:themeColor="text1"/>
          <w:sz w:val="28"/>
          <w:szCs w:val="28"/>
          <w:lang w:val="en-US" w:eastAsia="zh-CN"/>
          <w14:textFill>
            <w14:solidFill>
              <w14:schemeClr w14:val="tx1"/>
            </w14:solidFill>
          </w14:textFill>
        </w:rPr>
      </w:pPr>
      <w:r>
        <w:rPr>
          <w:rFonts w:hint="eastAsia" w:ascii="黑体" w:hAnsi="黑体" w:eastAsia="黑体" w:cs="黑体"/>
          <w:b/>
          <w:color w:val="000000" w:themeColor="text1"/>
          <w:sz w:val="28"/>
          <w:szCs w:val="28"/>
          <w14:textFill>
            <w14:solidFill>
              <w14:schemeClr w14:val="tx1"/>
            </w14:solidFill>
          </w14:textFill>
        </w:rPr>
        <w:t>二</w:t>
      </w:r>
      <w:r>
        <w:rPr>
          <w:rFonts w:hint="eastAsia" w:ascii="黑体" w:hAnsi="黑体" w:eastAsia="黑体" w:cs="黑体"/>
          <w:b/>
          <w:color w:val="000000" w:themeColor="text1"/>
          <w:sz w:val="28"/>
          <w:szCs w:val="28"/>
          <w:lang w:eastAsia="zh-CN"/>
          <w14:textFill>
            <w14:solidFill>
              <w14:schemeClr w14:val="tx1"/>
            </w14:solidFill>
          </w14:textFill>
        </w:rPr>
        <w:t>、</w:t>
      </w:r>
      <w:r>
        <w:rPr>
          <w:rFonts w:hint="eastAsia" w:ascii="黑体" w:hAnsi="黑体" w:eastAsia="黑体" w:cs="黑体"/>
          <w:b/>
          <w:color w:val="000000" w:themeColor="text1"/>
          <w:sz w:val="28"/>
          <w:szCs w:val="28"/>
          <w14:textFill>
            <w14:solidFill>
              <w14:schemeClr w14:val="tx1"/>
            </w14:solidFill>
          </w14:textFill>
        </w:rPr>
        <w:t>资源投入</w:t>
      </w:r>
    </w:p>
    <w:p w14:paraId="22BEBB7F">
      <w:pPr>
        <w:spacing w:line="360" w:lineRule="auto"/>
        <w:ind w:firstLine="480" w:firstLineChars="200"/>
        <w:rPr>
          <w:rFonts w:hint="eastAsia" w:ascii="仿宋_GB2312" w:hAnsi="仿宋_GB2312" w:eastAsia="仿宋_GB2312" w:cs="仿宋_GB2312"/>
          <w:color w:val="000000" w:themeColor="text1"/>
          <w:sz w:val="24"/>
          <w:szCs w:val="24"/>
          <w:shd w:val="clear" w:color="auto" w:fill="FFFFFF"/>
          <w:lang w:eastAsia="zh-CN"/>
          <w14:textFill>
            <w14:solidFill>
              <w14:schemeClr w14:val="tx1"/>
            </w14:solidFill>
          </w14:textFill>
        </w:rPr>
      </w:pPr>
      <w:r>
        <w:rPr>
          <w:rFonts w:hint="eastAsia" w:ascii="仿宋_GB2312" w:hAnsi="仿宋_GB2312" w:eastAsia="仿宋_GB2312" w:cs="仿宋_GB2312"/>
          <w:color w:val="000000" w:themeColor="text1"/>
          <w:sz w:val="24"/>
          <w:szCs w:val="24"/>
          <w:shd w:val="clear" w:color="auto" w:fill="FFFFFF"/>
          <w:lang w:eastAsia="zh-CN"/>
          <w14:textFill>
            <w14:solidFill>
              <w14:schemeClr w14:val="tx1"/>
            </w14:solidFill>
          </w14:textFill>
        </w:rPr>
        <w:t>自与苏州高博职业学院舞蹈表演专业建立校企合作关系以来，苏州市公共文化中心积极贡献资源，全力支持专业发展。在实践机会供给上，文化中心为舞蹈表演专业学生创造了诸多参与实际舞蹈表演和创作的宝贵契机，让学生得以在真实的舞台环境中锤炼技艺，积累丰富的表演经验。</w:t>
      </w:r>
    </w:p>
    <w:p w14:paraId="053A5BC7">
      <w:pPr>
        <w:spacing w:line="360" w:lineRule="auto"/>
        <w:ind w:firstLine="480" w:firstLineChars="200"/>
        <w:rPr>
          <w:rFonts w:hint="eastAsia" w:ascii="仿宋_GB2312" w:hAnsi="仿宋_GB2312" w:eastAsia="仿宋_GB2312" w:cs="仿宋_GB2312"/>
          <w:color w:val="000000" w:themeColor="text1"/>
          <w:sz w:val="24"/>
          <w:szCs w:val="24"/>
          <w:shd w:val="clear" w:color="auto" w:fill="FFFFFF"/>
          <w14:textFill>
            <w14:solidFill>
              <w14:schemeClr w14:val="tx1"/>
            </w14:solidFill>
          </w14:textFill>
        </w:rPr>
      </w:pPr>
      <w:r>
        <w:rPr>
          <w:rFonts w:hint="eastAsia" w:ascii="仿宋_GB2312" w:hAnsi="仿宋_GB2312" w:eastAsia="仿宋_GB2312" w:cs="仿宋_GB2312"/>
          <w:color w:val="000000" w:themeColor="text1"/>
          <w:sz w:val="24"/>
          <w:szCs w:val="24"/>
          <w:shd w:val="clear" w:color="auto" w:fill="FFFFFF"/>
          <w:lang w:eastAsia="zh-CN"/>
          <w14:textFill>
            <w14:solidFill>
              <w14:schemeClr w14:val="tx1"/>
            </w14:solidFill>
          </w14:textFill>
        </w:rPr>
        <w:t>在师资交流合作方面，文化中心充分发挥自身专业优势，精心选派经验丰富的专业教师走进学院课堂。这些教师不仅传授专业知识，还将行业前沿动态、实践技巧和丰富的表演经验融入教学过程，使学生能够接触到更具实用性和时效性的内容。同时，文化中心热忱接纳学院的舞蹈教师前来实践，为其提供参与各类文化活动、观摩专业演出以及与业内专家交流的机会，助力教师提升教学和科研水平，有力地促进了双方师资队伍的共同成长。这些资源投入，有效地整合了教育与科研、生产与就业等多方面资源，为提高舞蹈表演专业的教育质量筑牢了坚实基础</w:t>
      </w:r>
      <w:r>
        <w:rPr>
          <w:rFonts w:hint="eastAsia" w:ascii="仿宋_GB2312" w:hAnsi="仿宋_GB2312" w:eastAsia="仿宋_GB2312" w:cs="仿宋_GB2312"/>
          <w:color w:val="000000" w:themeColor="text1"/>
          <w:sz w:val="24"/>
          <w:szCs w:val="24"/>
          <w:shd w:val="clear" w:color="auto" w:fill="FFFFFF"/>
          <w14:textFill>
            <w14:solidFill>
              <w14:schemeClr w14:val="tx1"/>
            </w14:solidFill>
          </w14:textFill>
        </w:rPr>
        <w:t>。</w:t>
      </w:r>
    </w:p>
    <w:p w14:paraId="5866C55E">
      <w:pPr>
        <w:spacing w:before="156" w:beforeLines="50" w:after="156" w:afterLines="50" w:line="360" w:lineRule="auto"/>
        <w:ind w:firstLine="562" w:firstLineChars="200"/>
        <w:rPr>
          <w:rFonts w:hint="default" w:ascii="黑体" w:hAnsi="黑体" w:eastAsia="黑体" w:cs="黑体"/>
          <w:b/>
          <w:color w:val="000000" w:themeColor="text1"/>
          <w:sz w:val="28"/>
          <w:szCs w:val="28"/>
          <w:lang w:val="en-US" w:eastAsia="zh-CN"/>
          <w14:textFill>
            <w14:solidFill>
              <w14:schemeClr w14:val="tx1"/>
            </w14:solidFill>
          </w14:textFill>
        </w:rPr>
      </w:pPr>
      <w:r>
        <w:rPr>
          <w:rFonts w:hint="eastAsia" w:ascii="黑体" w:hAnsi="黑体" w:eastAsia="黑体" w:cs="黑体"/>
          <w:b/>
          <w:color w:val="000000" w:themeColor="text1"/>
          <w:sz w:val="28"/>
          <w:szCs w:val="28"/>
          <w:lang w:val="en-US" w:eastAsia="zh-CN"/>
          <w14:textFill>
            <w14:solidFill>
              <w14:schemeClr w14:val="tx1"/>
            </w14:solidFill>
          </w14:textFill>
        </w:rPr>
        <w:t>三</w:t>
      </w:r>
      <w:r>
        <w:rPr>
          <w:rFonts w:hint="eastAsia" w:ascii="黑体" w:hAnsi="黑体" w:eastAsia="黑体" w:cs="黑体"/>
          <w:b/>
          <w:color w:val="000000" w:themeColor="text1"/>
          <w:sz w:val="28"/>
          <w:szCs w:val="28"/>
          <w:lang w:eastAsia="zh-CN"/>
          <w14:textFill>
            <w14:solidFill>
              <w14:schemeClr w14:val="tx1"/>
            </w14:solidFill>
          </w14:textFill>
        </w:rPr>
        <w:t>、</w:t>
      </w:r>
      <w:r>
        <w:rPr>
          <w:rFonts w:hint="eastAsia" w:ascii="黑体" w:hAnsi="黑体" w:eastAsia="黑体" w:cs="黑体"/>
          <w:b/>
          <w:color w:val="000000" w:themeColor="text1"/>
          <w:sz w:val="28"/>
          <w:szCs w:val="28"/>
          <w:lang w:val="en-US" w:eastAsia="zh-CN"/>
          <w14:textFill>
            <w14:solidFill>
              <w14:schemeClr w14:val="tx1"/>
            </w14:solidFill>
          </w14:textFill>
        </w:rPr>
        <w:t>专项支持</w:t>
      </w:r>
    </w:p>
    <w:p w14:paraId="1A027C6A">
      <w:pPr>
        <w:spacing w:line="360" w:lineRule="auto"/>
        <w:ind w:firstLine="480" w:firstLineChars="200"/>
        <w:rPr>
          <w:rFonts w:hint="eastAsia" w:ascii="仿宋_GB2312" w:hAnsi="仿宋_GB2312" w:eastAsia="仿宋_GB2312" w:cs="仿宋_GB2312"/>
          <w:color w:val="000000" w:themeColor="text1"/>
          <w:sz w:val="24"/>
          <w:szCs w:val="24"/>
          <w:shd w:val="clear" w:color="auto" w:fill="FFFFFF"/>
          <w:lang w:eastAsia="zh-CN"/>
          <w14:textFill>
            <w14:solidFill>
              <w14:schemeClr w14:val="tx1"/>
            </w14:solidFill>
          </w14:textFill>
        </w:rPr>
      </w:pPr>
      <w:r>
        <w:rPr>
          <w:rFonts w:hint="eastAsia" w:ascii="仿宋_GB2312" w:hAnsi="仿宋_GB2312" w:eastAsia="仿宋_GB2312" w:cs="仿宋_GB2312"/>
          <w:color w:val="000000" w:themeColor="text1"/>
          <w:sz w:val="24"/>
          <w:szCs w:val="24"/>
          <w:shd w:val="clear" w:color="auto" w:fill="FFFFFF"/>
          <w:lang w:eastAsia="zh-CN"/>
          <w14:textFill>
            <w14:solidFill>
              <w14:schemeClr w14:val="tx1"/>
            </w14:solidFill>
          </w14:textFill>
        </w:rPr>
        <w:t>苏州市公共文化中心虽未设立专项资金，但通过多种方式为苏州高博职业学院舞蹈表演专业提供了专项支持。</w:t>
      </w:r>
    </w:p>
    <w:p w14:paraId="79775720">
      <w:pPr>
        <w:spacing w:line="360" w:lineRule="auto"/>
        <w:ind w:firstLine="482" w:firstLineChars="200"/>
        <w:rPr>
          <w:rFonts w:hint="eastAsia" w:ascii="仿宋_GB2312" w:hAnsi="仿宋_GB2312" w:eastAsia="仿宋_GB2312" w:cs="仿宋_GB2312"/>
          <w:b/>
          <w:bCs/>
          <w:color w:val="000000" w:themeColor="text1"/>
          <w:sz w:val="24"/>
          <w:szCs w:val="24"/>
          <w:shd w:val="clear" w:color="auto" w:fill="FFFFFF"/>
          <w:lang w:eastAsia="zh-CN"/>
          <w14:textFill>
            <w14:solidFill>
              <w14:schemeClr w14:val="tx1"/>
            </w14:solidFill>
          </w14:textFill>
        </w:rPr>
      </w:pPr>
      <w:r>
        <w:rPr>
          <w:rFonts w:hint="eastAsia" w:ascii="仿宋_GB2312" w:hAnsi="仿宋_GB2312" w:eastAsia="仿宋_GB2312" w:cs="仿宋_GB2312"/>
          <w:b/>
          <w:bCs/>
          <w:color w:val="000000" w:themeColor="text1"/>
          <w:sz w:val="24"/>
          <w:szCs w:val="24"/>
          <w:shd w:val="clear" w:color="auto" w:fill="FFFFFF"/>
          <w:lang w:eastAsia="zh-CN"/>
          <w14:textFill>
            <w14:solidFill>
              <w14:schemeClr w14:val="tx1"/>
            </w14:solidFill>
          </w14:textFill>
        </w:rPr>
        <w:t>（一）特色课程资源支持</w:t>
      </w:r>
    </w:p>
    <w:p w14:paraId="7DE44767">
      <w:pPr>
        <w:spacing w:line="360" w:lineRule="auto"/>
        <w:ind w:firstLine="480" w:firstLineChars="200"/>
        <w:rPr>
          <w:rFonts w:hint="eastAsia" w:ascii="仿宋_GB2312" w:hAnsi="仿宋_GB2312" w:eastAsia="仿宋_GB2312" w:cs="仿宋_GB2312"/>
          <w:color w:val="000000" w:themeColor="text1"/>
          <w:sz w:val="24"/>
          <w:szCs w:val="24"/>
          <w:shd w:val="clear" w:color="auto" w:fill="FFFFFF"/>
          <w:lang w:eastAsia="zh-CN"/>
          <w14:textFill>
            <w14:solidFill>
              <w14:schemeClr w14:val="tx1"/>
            </w14:solidFill>
          </w14:textFill>
        </w:rPr>
      </w:pPr>
      <w:r>
        <w:rPr>
          <w:rFonts w:hint="eastAsia" w:ascii="仿宋_GB2312" w:hAnsi="仿宋_GB2312" w:eastAsia="仿宋_GB2312" w:cs="仿宋_GB2312"/>
          <w:color w:val="000000" w:themeColor="text1"/>
          <w:sz w:val="24"/>
          <w:szCs w:val="24"/>
          <w:shd w:val="clear" w:color="auto" w:fill="FFFFFF"/>
          <w:lang w:eastAsia="zh-CN"/>
          <w14:textFill>
            <w14:solidFill>
              <w14:schemeClr w14:val="tx1"/>
            </w14:solidFill>
          </w14:textFill>
        </w:rPr>
        <w:t>苏州市公共文化中心凭借自身在地方文化资源挖掘和整理方面的优势，为学院舞蹈表演专业的特色课程建设提供了丰富的素材和专业指导。针对江南民间舞蹈这一具有地域特色的舞蹈类别，文化中心安排专业人员协助学院教师开展深入研究。通过提供珍贵的历史资料、组织民间艺人进行现场演示、分享一手的田野调查成果等方式，助力学院开发《江南民间舞蹈》特色课程，让学生深入了解江南民间舞蹈的文化内涵、风格特点和表演技巧。此外，在舞蹈教学法课程建设上，文化中心分享其在群众舞蹈培训中的先进教学经验和方法，协助学院优化课程内容，提升学生的教学能力培养效果。</w:t>
      </w:r>
    </w:p>
    <w:p w14:paraId="42FD12DE">
      <w:pPr>
        <w:spacing w:line="360" w:lineRule="auto"/>
        <w:ind w:firstLine="482" w:firstLineChars="200"/>
        <w:rPr>
          <w:rFonts w:hint="eastAsia" w:ascii="仿宋_GB2312" w:hAnsi="仿宋_GB2312" w:eastAsia="仿宋_GB2312" w:cs="仿宋_GB2312"/>
          <w:b/>
          <w:bCs/>
          <w:color w:val="000000" w:themeColor="text1"/>
          <w:sz w:val="24"/>
          <w:szCs w:val="24"/>
          <w:shd w:val="clear" w:color="auto" w:fill="FFFFFF"/>
          <w:lang w:eastAsia="zh-CN"/>
          <w14:textFill>
            <w14:solidFill>
              <w14:schemeClr w14:val="tx1"/>
            </w14:solidFill>
          </w14:textFill>
        </w:rPr>
      </w:pPr>
      <w:r>
        <w:rPr>
          <w:rFonts w:hint="eastAsia" w:ascii="仿宋_GB2312" w:hAnsi="仿宋_GB2312" w:eastAsia="仿宋_GB2312" w:cs="仿宋_GB2312"/>
          <w:b/>
          <w:bCs/>
          <w:color w:val="000000" w:themeColor="text1"/>
          <w:sz w:val="24"/>
          <w:szCs w:val="24"/>
          <w:shd w:val="clear" w:color="auto" w:fill="FFFFFF"/>
          <w:lang w:eastAsia="zh-CN"/>
          <w14:textFill>
            <w14:solidFill>
              <w14:schemeClr w14:val="tx1"/>
            </w14:solidFill>
          </w14:textFill>
        </w:rPr>
        <w:t>（二）教学设施设备共享</w:t>
      </w:r>
    </w:p>
    <w:p w14:paraId="3A361EF1">
      <w:pPr>
        <w:spacing w:line="360" w:lineRule="auto"/>
        <w:ind w:firstLine="480" w:firstLineChars="200"/>
        <w:rPr>
          <w:rFonts w:hint="eastAsia" w:ascii="仿宋_GB2312" w:hAnsi="仿宋_GB2312" w:eastAsia="仿宋_GB2312" w:cs="仿宋_GB2312"/>
          <w:color w:val="000000" w:themeColor="text1"/>
          <w:sz w:val="24"/>
          <w:szCs w:val="24"/>
          <w:shd w:val="clear" w:color="auto" w:fill="FFFFFF"/>
          <w:lang w:eastAsia="zh-CN"/>
          <w14:textFill>
            <w14:solidFill>
              <w14:schemeClr w14:val="tx1"/>
            </w14:solidFill>
          </w14:textFill>
        </w:rPr>
      </w:pPr>
      <w:r>
        <w:rPr>
          <w:rFonts w:hint="eastAsia" w:ascii="仿宋_GB2312" w:hAnsi="仿宋_GB2312" w:eastAsia="仿宋_GB2312" w:cs="仿宋_GB2312"/>
          <w:color w:val="000000" w:themeColor="text1"/>
          <w:sz w:val="24"/>
          <w:szCs w:val="24"/>
          <w:shd w:val="clear" w:color="auto" w:fill="FFFFFF"/>
          <w:lang w:eastAsia="zh-CN"/>
          <w14:textFill>
            <w14:solidFill>
              <w14:schemeClr w14:val="tx1"/>
            </w14:solidFill>
          </w14:textFill>
        </w:rPr>
        <w:t>苏州市公共文化中心积极开放自身的教学设施设备，与学院实现资源共享。文化中心的专业舞蹈排练厅、先进的音响设备、专业的舞台灯光等设施，在不影响自身文化活动开展的前提下，优先为学院舞蹈表演专业的学生提供使用机会。学生可以在这里进行舞蹈排练、模拟演出等活动，感受专业的表演环境，提升实践能力。同时，文化中心的各类艺术展览厅、非遗展示区也为学生提供了丰富的艺术学习资源，学生可以通过参观展览、体验非遗项目等方式，拓宽艺术视野，丰富艺术素养。</w:t>
      </w:r>
    </w:p>
    <w:p w14:paraId="3FF612C7">
      <w:pPr>
        <w:spacing w:line="360" w:lineRule="auto"/>
        <w:ind w:firstLine="482" w:firstLineChars="200"/>
        <w:rPr>
          <w:rFonts w:hint="eastAsia" w:ascii="仿宋_GB2312" w:hAnsi="仿宋_GB2312" w:eastAsia="仿宋_GB2312" w:cs="仿宋_GB2312"/>
          <w:b/>
          <w:bCs/>
          <w:color w:val="000000" w:themeColor="text1"/>
          <w:sz w:val="24"/>
          <w:szCs w:val="24"/>
          <w:shd w:val="clear" w:color="auto" w:fill="FFFFFF"/>
          <w:lang w:eastAsia="zh-CN"/>
          <w14:textFill>
            <w14:solidFill>
              <w14:schemeClr w14:val="tx1"/>
            </w14:solidFill>
          </w14:textFill>
        </w:rPr>
      </w:pPr>
      <w:r>
        <w:rPr>
          <w:rFonts w:hint="eastAsia" w:ascii="仿宋_GB2312" w:hAnsi="仿宋_GB2312" w:eastAsia="仿宋_GB2312" w:cs="仿宋_GB2312"/>
          <w:b/>
          <w:bCs/>
          <w:color w:val="000000" w:themeColor="text1"/>
          <w:sz w:val="24"/>
          <w:szCs w:val="24"/>
          <w:shd w:val="clear" w:color="auto" w:fill="FFFFFF"/>
          <w:lang w:eastAsia="zh-CN"/>
          <w14:textFill>
            <w14:solidFill>
              <w14:schemeClr w14:val="tx1"/>
            </w14:solidFill>
          </w14:textFill>
        </w:rPr>
        <w:t>（三）学生艺术实践平台支持</w:t>
      </w:r>
    </w:p>
    <w:p w14:paraId="504087A5">
      <w:pPr>
        <w:spacing w:line="360" w:lineRule="auto"/>
        <w:ind w:firstLine="480" w:firstLineChars="200"/>
        <w:rPr>
          <w:rFonts w:hint="eastAsia" w:ascii="仿宋_GB2312" w:hAnsi="仿宋_GB2312" w:eastAsia="仿宋_GB2312" w:cs="仿宋_GB2312"/>
          <w:color w:val="000000" w:themeColor="text1"/>
          <w:sz w:val="24"/>
          <w:szCs w:val="24"/>
          <w:shd w:val="clear" w:color="auto" w:fill="FFFFFF"/>
          <w14:textFill>
            <w14:solidFill>
              <w14:schemeClr w14:val="tx1"/>
            </w14:solidFill>
          </w14:textFill>
        </w:rPr>
      </w:pPr>
      <w:r>
        <w:rPr>
          <w:rFonts w:hint="eastAsia" w:ascii="仿宋_GB2312" w:hAnsi="仿宋_GB2312" w:eastAsia="仿宋_GB2312" w:cs="仿宋_GB2312"/>
          <w:color w:val="000000" w:themeColor="text1"/>
          <w:sz w:val="24"/>
          <w:szCs w:val="24"/>
          <w:shd w:val="clear" w:color="auto" w:fill="FFFFFF"/>
          <w:lang w:eastAsia="zh-CN"/>
          <w14:textFill>
            <w14:solidFill>
              <w14:schemeClr w14:val="tx1"/>
            </w14:solidFill>
          </w14:textFill>
        </w:rPr>
        <w:t>苏州市公共文化中心充分利用自身举办各类文化活动的平台优势，为学院舞蹈表演专业的学生提供丰富的艺术实践机会。文化中心组织的公益演出、文化交流活动、舞蹈比赛等，都会优先邀请学院学生参与。例如，在每年的社区文化节、传统节日庆典等活动中，学生有机会登上舞台进行表演，积累舞台经验，提升表演水平。此外，文化中心还积极为学生牵线搭桥，推荐学生参与其他社会文艺团体的演出和活动，帮助学生拓展艺术实践渠道，提高学生在行业内的知名度和影响力。</w:t>
      </w:r>
    </w:p>
    <w:p w14:paraId="01032ADD">
      <w:pPr>
        <w:spacing w:before="156" w:beforeLines="50" w:after="156" w:afterLines="50" w:line="360" w:lineRule="auto"/>
        <w:ind w:firstLine="562" w:firstLineChars="200"/>
        <w:rPr>
          <w:rFonts w:hint="eastAsia" w:ascii="仿宋_GB2312" w:hAnsi="仿宋_GB2312" w:eastAsia="仿宋_GB2312" w:cs="仿宋_GB2312"/>
          <w:color w:val="000000" w:themeColor="text1"/>
          <w:sz w:val="24"/>
          <w:szCs w:val="24"/>
          <w:shd w:val="clear" w:color="auto" w:fill="FFFFFF"/>
          <w:lang w:eastAsia="zh-CN"/>
          <w14:textFill>
            <w14:solidFill>
              <w14:schemeClr w14:val="tx1"/>
            </w14:solidFill>
          </w14:textFill>
        </w:rPr>
      </w:pPr>
      <w:r>
        <w:rPr>
          <w:rFonts w:hint="eastAsia" w:ascii="黑体" w:hAnsi="黑体" w:eastAsia="黑体" w:cs="黑体"/>
          <w:b/>
          <w:color w:val="000000" w:themeColor="text1"/>
          <w:sz w:val="28"/>
          <w:szCs w:val="28"/>
          <w:lang w:val="en-US" w:eastAsia="zh-CN"/>
          <w14:textFill>
            <w14:solidFill>
              <w14:schemeClr w14:val="tx1"/>
            </w14:solidFill>
          </w14:textFill>
        </w:rPr>
        <w:t>四</w:t>
      </w:r>
      <w:r>
        <w:rPr>
          <w:rFonts w:hint="eastAsia" w:ascii="黑体" w:hAnsi="黑体" w:eastAsia="黑体" w:cs="黑体"/>
          <w:b/>
          <w:color w:val="000000" w:themeColor="text1"/>
          <w:sz w:val="28"/>
          <w:szCs w:val="28"/>
          <w14:textFill>
            <w14:solidFill>
              <w14:schemeClr w14:val="tx1"/>
            </w14:solidFill>
          </w14:textFill>
        </w:rPr>
        <w:t>、参与“五金”建设</w:t>
      </w:r>
    </w:p>
    <w:p w14:paraId="2DB6E750">
      <w:pPr>
        <w:spacing w:line="360" w:lineRule="auto"/>
        <w:ind w:firstLine="482" w:firstLineChars="200"/>
        <w:rPr>
          <w:rFonts w:hint="eastAsia" w:ascii="仿宋_GB2312" w:hAnsi="仿宋_GB2312" w:eastAsia="仿宋_GB2312" w:cs="仿宋_GB2312"/>
          <w:color w:val="000000" w:themeColor="text1"/>
          <w:sz w:val="24"/>
          <w:szCs w:val="24"/>
          <w:shd w:val="clear" w:color="auto" w:fill="FFFFFF"/>
          <w:lang w:eastAsia="zh-CN"/>
          <w14:textFill>
            <w14:solidFill>
              <w14:schemeClr w14:val="tx1"/>
            </w14:solidFill>
          </w14:textFill>
        </w:rPr>
      </w:pPr>
      <w:r>
        <w:rPr>
          <w:rFonts w:hint="eastAsia" w:ascii="仿宋_GB2312" w:hAnsi="仿宋_GB2312" w:eastAsia="仿宋_GB2312" w:cs="仿宋_GB2312"/>
          <w:b/>
          <w:bCs/>
          <w:color w:val="000000" w:themeColor="text1"/>
          <w:sz w:val="24"/>
          <w:szCs w:val="24"/>
          <w:shd w:val="clear" w:color="auto" w:fill="FFFFFF"/>
          <w14:textFill>
            <w14:solidFill>
              <w14:schemeClr w14:val="tx1"/>
            </w14:solidFill>
          </w14:textFill>
        </w:rPr>
        <w:t>（一）专业建设</w:t>
      </w:r>
    </w:p>
    <w:p w14:paraId="566C0D24">
      <w:pPr>
        <w:spacing w:line="360" w:lineRule="auto"/>
        <w:ind w:firstLine="480" w:firstLineChars="200"/>
        <w:rPr>
          <w:rFonts w:hint="eastAsia" w:ascii="仿宋_GB2312" w:hAnsi="仿宋_GB2312" w:eastAsia="仿宋_GB2312" w:cs="仿宋_GB2312"/>
          <w:color w:val="000000" w:themeColor="text1"/>
          <w:sz w:val="24"/>
          <w:szCs w:val="24"/>
          <w:shd w:val="clear" w:color="auto" w:fill="FFFFFF"/>
          <w:lang w:val="en-US" w:eastAsia="zh-CN"/>
          <w14:textFill>
            <w14:solidFill>
              <w14:schemeClr w14:val="tx1"/>
            </w14:solidFill>
          </w14:textFill>
        </w:rPr>
      </w:pPr>
      <w:r>
        <w:rPr>
          <w:rFonts w:hint="eastAsia" w:ascii="仿宋_GB2312" w:hAnsi="仿宋_GB2312" w:eastAsia="仿宋_GB2312" w:cs="仿宋_GB2312"/>
          <w:color w:val="000000" w:themeColor="text1"/>
          <w:sz w:val="24"/>
          <w:szCs w:val="24"/>
          <w:shd w:val="clear" w:color="auto" w:fill="FFFFFF"/>
          <w:lang w:val="en-US" w:eastAsia="zh-CN"/>
          <w14:textFill>
            <w14:solidFill>
              <w14:schemeClr w14:val="tx1"/>
            </w14:solidFill>
          </w14:textFill>
        </w:rPr>
        <w:t>校企合作在推动苏州高博职业学院舞蹈表演专业建设中发挥了至关重要的作用。为使人才培养方案更贴合社会需求，2024年5月，学院成立了舞蹈表演专业建设指导委员会，并成功召开首次会议。苏州市公共文化中心文化馆管理部部长、一级演出监督向旻受聘为首届主任委员。</w:t>
      </w:r>
    </w:p>
    <w:p w14:paraId="4DCCD1F3">
      <w:pPr>
        <w:spacing w:line="360" w:lineRule="auto"/>
        <w:ind w:firstLine="480" w:firstLineChars="200"/>
        <w:rPr>
          <w:rFonts w:hint="eastAsia" w:ascii="仿宋_GB2312" w:hAnsi="仿宋_GB2312" w:eastAsia="仿宋_GB2312" w:cs="仿宋_GB2312"/>
          <w:color w:val="000000" w:themeColor="text1"/>
          <w:sz w:val="24"/>
          <w:szCs w:val="24"/>
          <w:shd w:val="clear" w:color="auto" w:fill="FFFFFF"/>
          <w:lang w:val="en-US" w:eastAsia="zh-CN"/>
          <w14:textFill>
            <w14:solidFill>
              <w14:schemeClr w14:val="tx1"/>
            </w14:solidFill>
          </w14:textFill>
        </w:rPr>
      </w:pPr>
      <w:r>
        <w:rPr>
          <w:rFonts w:hint="eastAsia" w:ascii="仿宋_GB2312" w:hAnsi="仿宋_GB2312" w:eastAsia="仿宋_GB2312" w:cs="仿宋_GB2312"/>
          <w:color w:val="000000" w:themeColor="text1"/>
          <w:sz w:val="24"/>
          <w:szCs w:val="24"/>
          <w:shd w:val="clear" w:color="auto" w:fill="FFFFFF"/>
          <w:lang w:val="en-US" w:eastAsia="zh-CN"/>
          <w14:textFill>
            <w14:solidFill>
              <w14:schemeClr w14:val="tx1"/>
            </w14:solidFill>
          </w14:textFill>
        </w:rPr>
        <w:t>在会议中，向主任与其他专家围绕舞蹈表演专业发展规划、人才培养方案、课程设置及教学标准等核心议题展开深入审核与论证，提出了一系列宝贵的指导意见。</w:t>
      </w:r>
    </w:p>
    <w:p w14:paraId="22F65CBF">
      <w:pPr>
        <w:spacing w:line="360" w:lineRule="auto"/>
        <w:ind w:firstLine="480" w:firstLineChars="200"/>
        <w:rPr>
          <w:rFonts w:hint="default" w:ascii="仿宋_GB2312" w:hAnsi="仿宋_GB2312" w:eastAsia="仿宋_GB2312" w:cs="仿宋_GB2312"/>
          <w:color w:val="000000" w:themeColor="text1"/>
          <w:sz w:val="24"/>
          <w:szCs w:val="24"/>
          <w:shd w:val="clear" w:color="auto" w:fill="FFFFFF"/>
          <w:lang w:val="en-US" w:eastAsia="zh-CN"/>
          <w14:textFill>
            <w14:solidFill>
              <w14:schemeClr w14:val="tx1"/>
            </w14:solidFill>
          </w14:textFill>
        </w:rPr>
      </w:pPr>
      <w:r>
        <w:rPr>
          <w:rFonts w:hint="eastAsia" w:ascii="仿宋_GB2312" w:hAnsi="仿宋_GB2312" w:eastAsia="仿宋_GB2312" w:cs="仿宋_GB2312"/>
          <w:color w:val="000000" w:themeColor="text1"/>
          <w:sz w:val="24"/>
          <w:szCs w:val="24"/>
          <w:shd w:val="clear" w:color="auto" w:fill="FFFFFF"/>
          <w:lang w:val="en-US" w:eastAsia="zh-CN"/>
          <w14:textFill>
            <w14:solidFill>
              <w14:schemeClr w14:val="tx1"/>
            </w14:solidFill>
          </w14:textFill>
        </w:rPr>
        <w:t>基于专家建议，舞蹈表演专业对人才培养方案进行了优化调整。一是强化课程思政建设，将其融入育人体系，推动教学目标、专业知识、考核机制等深度融合，在提升学生专业素质的同时，注重培养学生的政治素养，努力实现“三全育人”。二是增设舞蹈教学法课程，帮助学生系统掌握舞蹈教学的理论知识与实践技能，提升教学能力，拓宽就业渠道。三是将苏州地方非遗特色课程——江南民间舞蹈列为核心课程，加深学生对地域特色舞蹈艺术的理解与掌握，培养学生对传统文化的兴趣和认同感</w:t>
      </w:r>
      <w:r>
        <w:rPr>
          <w:rFonts w:hint="eastAsia" w:ascii="仿宋_GB2312" w:hAnsi="仿宋_GB2312" w:eastAsia="仿宋_GB2312" w:cs="仿宋_GB2312"/>
          <w:color w:val="000000" w:themeColor="text1"/>
          <w:sz w:val="24"/>
          <w:szCs w:val="24"/>
          <w:shd w:val="clear" w:color="auto" w:fill="FFFFFF"/>
          <w14:textFill>
            <w14:solidFill>
              <w14:schemeClr w14:val="tx1"/>
            </w14:solidFill>
          </w14:textFill>
        </w:rPr>
        <w:t>。</w:t>
      </w:r>
    </w:p>
    <w:p w14:paraId="128139D9">
      <w:pPr>
        <w:spacing w:line="360" w:lineRule="auto"/>
        <w:ind w:firstLine="420" w:firstLineChars="200"/>
        <w:jc w:val="center"/>
      </w:pPr>
      <w:r>
        <w:drawing>
          <wp:inline distT="0" distB="0" distL="114300" distR="114300">
            <wp:extent cx="4319905" cy="2580005"/>
            <wp:effectExtent l="0" t="0" r="10795" b="10795"/>
            <wp:docPr id="4" name="内容占位符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内容占位符 3"/>
                    <pic:cNvPicPr>
                      <a:picLocks noChangeAspect="1"/>
                    </pic:cNvPicPr>
                  </pic:nvPicPr>
                  <pic:blipFill>
                    <a:blip r:embed="rId6"/>
                    <a:stretch>
                      <a:fillRect/>
                    </a:stretch>
                  </pic:blipFill>
                  <pic:spPr>
                    <a:xfrm>
                      <a:off x="0" y="0"/>
                      <a:ext cx="4319905" cy="2580005"/>
                    </a:xfrm>
                    <a:prstGeom prst="rect">
                      <a:avLst/>
                    </a:prstGeom>
                  </pic:spPr>
                </pic:pic>
              </a:graphicData>
            </a:graphic>
          </wp:inline>
        </w:drawing>
      </w:r>
    </w:p>
    <w:p w14:paraId="2454C67B">
      <w:pPr>
        <w:spacing w:line="360" w:lineRule="auto"/>
        <w:ind w:firstLine="420" w:firstLineChars="200"/>
        <w:jc w:val="center"/>
        <w:rPr>
          <w:rFonts w:hint="default" w:ascii="仿宋_GB2312" w:hAnsi="仿宋_GB2312" w:eastAsia="仿宋_GB2312" w:cs="仿宋_GB2312"/>
          <w:color w:val="000000" w:themeColor="text1"/>
          <w:sz w:val="21"/>
          <w:szCs w:val="21"/>
          <w:shd w:val="clear" w:color="auto" w:fill="FFFFFF"/>
          <w:lang w:val="en-US" w:eastAsia="zh-CN"/>
          <w14:textFill>
            <w14:solidFill>
              <w14:schemeClr w14:val="tx1"/>
            </w14:solidFill>
          </w14:textFill>
        </w:rPr>
      </w:pPr>
      <w:r>
        <w:rPr>
          <w:rFonts w:hint="eastAsia" w:ascii="仿宋_GB2312" w:hAnsi="仿宋_GB2312" w:eastAsia="仿宋_GB2312" w:cs="仿宋_GB2312"/>
          <w:color w:val="000000" w:themeColor="text1"/>
          <w:sz w:val="21"/>
          <w:szCs w:val="21"/>
          <w:shd w:val="clear" w:color="auto" w:fill="FFFFFF"/>
          <w:lang w:val="en-US" w:eastAsia="zh-CN"/>
          <w14:textFill>
            <w14:solidFill>
              <w14:schemeClr w14:val="tx1"/>
            </w14:solidFill>
          </w14:textFill>
        </w:rPr>
        <w:t>图1：舞蹈表演专业建设指导委员会</w:t>
      </w:r>
    </w:p>
    <w:p w14:paraId="4C5437D4">
      <w:pPr>
        <w:spacing w:line="360" w:lineRule="auto"/>
        <w:ind w:firstLine="560" w:firstLineChars="200"/>
        <w:jc w:val="center"/>
        <w:rPr>
          <w:rFonts w:hint="eastAsia" w:ascii="宋体" w:hAnsi="宋体" w:eastAsia="宋体" w:cs="宋体"/>
          <w:sz w:val="28"/>
          <w:szCs w:val="28"/>
          <w:lang w:eastAsia="zh-CN"/>
        </w:rPr>
      </w:pPr>
      <w:r>
        <w:rPr>
          <w:rFonts w:hint="eastAsia" w:ascii="宋体" w:hAnsi="宋体" w:eastAsia="宋体" w:cs="宋体"/>
          <w:sz w:val="28"/>
          <w:szCs w:val="28"/>
          <w:lang w:eastAsia="zh-CN"/>
        </w:rPr>
        <w:drawing>
          <wp:inline distT="0" distB="0" distL="114300" distR="114300">
            <wp:extent cx="4319905" cy="1816100"/>
            <wp:effectExtent l="0" t="0" r="10795" b="0"/>
            <wp:docPr id="21" name="图片 21" descr="1733987365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descr="1733987365396"/>
                    <pic:cNvPicPr>
                      <a:picLocks noChangeAspect="1"/>
                    </pic:cNvPicPr>
                  </pic:nvPicPr>
                  <pic:blipFill>
                    <a:blip r:embed="rId7"/>
                    <a:stretch>
                      <a:fillRect/>
                    </a:stretch>
                  </pic:blipFill>
                  <pic:spPr>
                    <a:xfrm>
                      <a:off x="0" y="0"/>
                      <a:ext cx="4319905" cy="1816100"/>
                    </a:xfrm>
                    <a:prstGeom prst="rect">
                      <a:avLst/>
                    </a:prstGeom>
                  </pic:spPr>
                </pic:pic>
              </a:graphicData>
            </a:graphic>
          </wp:inline>
        </w:drawing>
      </w:r>
    </w:p>
    <w:p w14:paraId="1386B6AE">
      <w:pPr>
        <w:spacing w:line="360" w:lineRule="auto"/>
        <w:ind w:firstLine="420" w:firstLineChars="200"/>
        <w:jc w:val="center"/>
        <w:rPr>
          <w:rFonts w:hint="default" w:ascii="仿宋_GB2312" w:hAnsi="仿宋_GB2312" w:eastAsia="仿宋_GB2312" w:cs="仿宋_GB2312"/>
          <w:color w:val="000000" w:themeColor="text1"/>
          <w:sz w:val="21"/>
          <w:szCs w:val="21"/>
          <w:shd w:val="clear" w:color="auto" w:fill="FFFFFF"/>
          <w:lang w:val="en-US" w:eastAsia="zh-CN"/>
          <w14:textFill>
            <w14:solidFill>
              <w14:schemeClr w14:val="tx1"/>
            </w14:solidFill>
          </w14:textFill>
        </w:rPr>
      </w:pPr>
      <w:r>
        <w:rPr>
          <w:rFonts w:hint="eastAsia" w:ascii="仿宋_GB2312" w:hAnsi="仿宋_GB2312" w:eastAsia="仿宋_GB2312" w:cs="仿宋_GB2312"/>
          <w:color w:val="000000" w:themeColor="text1"/>
          <w:sz w:val="21"/>
          <w:szCs w:val="21"/>
          <w:shd w:val="clear" w:color="auto" w:fill="FFFFFF"/>
          <w:lang w:val="en-US" w:eastAsia="zh-CN"/>
          <w14:textFill>
            <w14:solidFill>
              <w14:schemeClr w14:val="tx1"/>
            </w14:solidFill>
          </w14:textFill>
        </w:rPr>
        <w:t>图2：舞蹈表演专业非遗特色课程-江南民间舞蹈</w:t>
      </w:r>
    </w:p>
    <w:p w14:paraId="22A67A70">
      <w:pPr>
        <w:spacing w:line="360" w:lineRule="auto"/>
        <w:ind w:firstLine="482" w:firstLineChars="200"/>
        <w:rPr>
          <w:rFonts w:ascii="仿宋_GB2312" w:hAnsi="仿宋_GB2312" w:eastAsia="仿宋_GB2312" w:cs="仿宋_GB2312"/>
          <w:b/>
          <w:bCs/>
          <w:color w:val="000000" w:themeColor="text1"/>
          <w:sz w:val="24"/>
          <w:szCs w:val="24"/>
          <w:shd w:val="clear" w:color="auto" w:fill="FFFFFF"/>
          <w14:textFill>
            <w14:solidFill>
              <w14:schemeClr w14:val="tx1"/>
            </w14:solidFill>
          </w14:textFill>
        </w:rPr>
      </w:pPr>
      <w:r>
        <w:rPr>
          <w:rFonts w:hint="eastAsia" w:ascii="仿宋_GB2312" w:hAnsi="仿宋_GB2312" w:eastAsia="仿宋_GB2312" w:cs="仿宋_GB2312"/>
          <w:b/>
          <w:bCs/>
          <w:color w:val="000000" w:themeColor="text1"/>
          <w:sz w:val="24"/>
          <w:szCs w:val="24"/>
          <w:shd w:val="clear" w:color="auto" w:fill="FFFFFF"/>
          <w14:textFill>
            <w14:solidFill>
              <w14:schemeClr w14:val="tx1"/>
            </w14:solidFill>
          </w14:textFill>
        </w:rPr>
        <w:t>（二）课程建设</w:t>
      </w:r>
    </w:p>
    <w:p w14:paraId="444A164B">
      <w:pPr>
        <w:spacing w:line="360" w:lineRule="auto"/>
        <w:ind w:firstLine="480" w:firstLineChars="200"/>
        <w:rPr>
          <w:rFonts w:hint="eastAsia" w:ascii="仿宋_GB2312" w:hAnsi="仿宋_GB2312" w:eastAsia="仿宋_GB2312" w:cs="仿宋_GB2312"/>
          <w:color w:val="000000" w:themeColor="text1"/>
          <w:sz w:val="24"/>
          <w:szCs w:val="24"/>
          <w:shd w:val="clear" w:color="auto" w:fill="FFFFFF"/>
          <w14:textFill>
            <w14:solidFill>
              <w14:schemeClr w14:val="tx1"/>
            </w14:solidFill>
          </w14:textFill>
        </w:rPr>
      </w:pPr>
      <w:r>
        <w:rPr>
          <w:rFonts w:hint="default" w:ascii="仿宋_GB2312" w:hAnsi="仿宋_GB2312" w:eastAsia="仿宋_GB2312" w:cs="仿宋_GB2312"/>
          <w:color w:val="000000" w:themeColor="text1"/>
          <w:sz w:val="24"/>
          <w:szCs w:val="24"/>
          <w:shd w:val="clear" w:color="auto" w:fill="FFFFFF"/>
          <w14:textFill>
            <w14:solidFill>
              <w14:schemeClr w14:val="tx1"/>
            </w14:solidFill>
          </w14:textFill>
        </w:rPr>
        <w:t>舞蹈表演专业以提高教学质量、完善人才培养方案为目标，秉持</w:t>
      </w:r>
      <w:r>
        <w:rPr>
          <w:rFonts w:hint="default" w:ascii="仿宋_GB2312" w:hAnsi="仿宋_GB2312" w:eastAsia="仿宋_GB2312" w:cs="仿宋_GB2312"/>
          <w:b/>
          <w:bCs/>
          <w:color w:val="000000" w:themeColor="text1"/>
          <w:sz w:val="24"/>
          <w:szCs w:val="24"/>
          <w:shd w:val="clear" w:color="auto" w:fill="FFFFFF"/>
          <w14:textFill>
            <w14:solidFill>
              <w14:schemeClr w14:val="tx1"/>
            </w14:solidFill>
          </w14:textFill>
        </w:rPr>
        <w:t>“课程教学+剧目创作+舞台实践”三位一体的专业教学模式</w:t>
      </w:r>
      <w:r>
        <w:rPr>
          <w:rFonts w:hint="default" w:ascii="仿宋_GB2312" w:hAnsi="仿宋_GB2312" w:eastAsia="仿宋_GB2312" w:cs="仿宋_GB2312"/>
          <w:color w:val="000000" w:themeColor="text1"/>
          <w:sz w:val="24"/>
          <w:szCs w:val="24"/>
          <w:shd w:val="clear" w:color="auto" w:fill="FFFFFF"/>
          <w14:textFill>
            <w14:solidFill>
              <w14:schemeClr w14:val="tx1"/>
            </w14:solidFill>
          </w14:textFill>
        </w:rPr>
        <w:t>。为使学生更好地了解舞蹈市场的人才需求，专业积极引入企业资源和案例，打破传统课程模式，构建了以能力目标为导向的课程体系，涵盖基础能力、通用能力、专项能力和综合能力。其中，江南民间舞和芭蕾足尖课程作为特色课程，助力学生实现多层次能力整合。同时，专业借助现代化的实践平台和新媒体媒介平台，促进学生实践能力的综合提升</w:t>
      </w:r>
      <w:r>
        <w:rPr>
          <w:rFonts w:hint="eastAsia" w:ascii="仿宋_GB2312" w:hAnsi="仿宋_GB2312" w:eastAsia="仿宋_GB2312" w:cs="仿宋_GB2312"/>
          <w:color w:val="000000" w:themeColor="text1"/>
          <w:sz w:val="24"/>
          <w:szCs w:val="24"/>
          <w:shd w:val="clear" w:color="auto" w:fill="FFFFFF"/>
          <w14:textFill>
            <w14:solidFill>
              <w14:schemeClr w14:val="tx1"/>
            </w14:solidFill>
          </w14:textFill>
        </w:rPr>
        <w:t>。</w:t>
      </w:r>
    </w:p>
    <w:p w14:paraId="0DBA1700">
      <w:pPr>
        <w:spacing w:line="360" w:lineRule="auto"/>
        <w:ind w:firstLine="480" w:firstLineChars="200"/>
        <w:jc w:val="center"/>
        <w:rPr>
          <w:rFonts w:hint="eastAsia" w:ascii="仿宋_GB2312" w:hAnsi="仿宋_GB2312" w:eastAsia="仿宋_GB2312" w:cs="仿宋_GB2312"/>
          <w:color w:val="000000" w:themeColor="text1"/>
          <w:sz w:val="24"/>
          <w:szCs w:val="24"/>
          <w:shd w:val="clear" w:color="auto" w:fill="FFFFFF"/>
          <w:lang w:eastAsia="zh-CN"/>
          <w14:textFill>
            <w14:solidFill>
              <w14:schemeClr w14:val="tx1"/>
            </w14:solidFill>
          </w14:textFill>
        </w:rPr>
      </w:pPr>
      <w:r>
        <w:rPr>
          <w:rFonts w:hint="eastAsia" w:ascii="仿宋_GB2312" w:hAnsi="仿宋_GB2312" w:eastAsia="仿宋_GB2312" w:cs="仿宋_GB2312"/>
          <w:color w:val="000000" w:themeColor="text1"/>
          <w:sz w:val="24"/>
          <w:szCs w:val="24"/>
          <w:shd w:val="clear" w:color="auto" w:fill="FFFFFF"/>
          <w:lang w:eastAsia="zh-CN"/>
          <w14:textFill>
            <w14:solidFill>
              <w14:schemeClr w14:val="tx1"/>
            </w14:solidFill>
          </w14:textFill>
        </w:rPr>
        <w:drawing>
          <wp:inline distT="0" distB="0" distL="114300" distR="114300">
            <wp:extent cx="2120900" cy="1536065"/>
            <wp:effectExtent l="0" t="0" r="0" b="635"/>
            <wp:docPr id="19" name="图片 19" descr="17345104547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descr="1734510454707"/>
                    <pic:cNvPicPr>
                      <a:picLocks noChangeAspect="1"/>
                    </pic:cNvPicPr>
                  </pic:nvPicPr>
                  <pic:blipFill>
                    <a:blip r:embed="rId8"/>
                    <a:stretch>
                      <a:fillRect/>
                    </a:stretch>
                  </pic:blipFill>
                  <pic:spPr>
                    <a:xfrm>
                      <a:off x="0" y="0"/>
                      <a:ext cx="2120900" cy="1536065"/>
                    </a:xfrm>
                    <a:prstGeom prst="rect">
                      <a:avLst/>
                    </a:prstGeom>
                  </pic:spPr>
                </pic:pic>
              </a:graphicData>
            </a:graphic>
          </wp:inline>
        </w:drawing>
      </w:r>
      <w:r>
        <w:rPr>
          <w:rFonts w:hint="eastAsia" w:ascii="仿宋_GB2312" w:hAnsi="仿宋_GB2312" w:eastAsia="仿宋_GB2312" w:cs="仿宋_GB2312"/>
          <w:color w:val="000000" w:themeColor="text1"/>
          <w:sz w:val="24"/>
          <w:szCs w:val="24"/>
          <w:shd w:val="clear" w:color="auto" w:fill="FFFFFF"/>
          <w:lang w:eastAsia="zh-CN"/>
          <w14:textFill>
            <w14:solidFill>
              <w14:schemeClr w14:val="tx1"/>
            </w14:solidFill>
          </w14:textFill>
        </w:rPr>
        <w:drawing>
          <wp:inline distT="0" distB="0" distL="114300" distR="114300">
            <wp:extent cx="2120900" cy="1535430"/>
            <wp:effectExtent l="0" t="0" r="0" b="1270"/>
            <wp:docPr id="20" name="图片 20" descr="17345104547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descr="1734510454707"/>
                    <pic:cNvPicPr>
                      <a:picLocks noChangeAspect="1"/>
                    </pic:cNvPicPr>
                  </pic:nvPicPr>
                  <pic:blipFill>
                    <a:blip r:embed="rId8"/>
                    <a:stretch>
                      <a:fillRect/>
                    </a:stretch>
                  </pic:blipFill>
                  <pic:spPr>
                    <a:xfrm>
                      <a:off x="0" y="0"/>
                      <a:ext cx="2120900" cy="1535430"/>
                    </a:xfrm>
                    <a:prstGeom prst="rect">
                      <a:avLst/>
                    </a:prstGeom>
                  </pic:spPr>
                </pic:pic>
              </a:graphicData>
            </a:graphic>
          </wp:inline>
        </w:drawing>
      </w:r>
    </w:p>
    <w:p w14:paraId="0F411D42">
      <w:pPr>
        <w:spacing w:line="360" w:lineRule="auto"/>
        <w:ind w:firstLine="420" w:firstLineChars="200"/>
        <w:jc w:val="center"/>
        <w:rPr>
          <w:rFonts w:hint="default" w:ascii="仿宋_GB2312" w:hAnsi="仿宋_GB2312" w:eastAsia="仿宋_GB2312" w:cs="仿宋_GB2312"/>
          <w:color w:val="000000" w:themeColor="text1"/>
          <w:sz w:val="24"/>
          <w:szCs w:val="24"/>
          <w:shd w:val="clear" w:color="auto" w:fill="FFFFFF"/>
          <w:lang w:val="en-US" w:eastAsia="zh-CN"/>
          <w14:textFill>
            <w14:solidFill>
              <w14:schemeClr w14:val="tx1"/>
            </w14:solidFill>
          </w14:textFill>
        </w:rPr>
      </w:pPr>
      <w:r>
        <w:rPr>
          <w:rFonts w:hint="eastAsia" w:ascii="仿宋_GB2312" w:hAnsi="仿宋_GB2312" w:eastAsia="仿宋_GB2312" w:cs="仿宋_GB2312"/>
          <w:color w:val="000000" w:themeColor="text1"/>
          <w:sz w:val="21"/>
          <w:szCs w:val="21"/>
          <w:shd w:val="clear" w:color="auto" w:fill="FFFFFF"/>
          <w:lang w:val="en-US" w:eastAsia="zh-CN"/>
          <w14:textFill>
            <w14:solidFill>
              <w14:schemeClr w14:val="tx1"/>
            </w14:solidFill>
          </w14:textFill>
        </w:rPr>
        <w:t>图3：舞蹈表演专业教学计划安排表</w:t>
      </w:r>
    </w:p>
    <w:p w14:paraId="6208AD2E">
      <w:pPr>
        <w:spacing w:line="360" w:lineRule="auto"/>
        <w:ind w:firstLine="560" w:firstLineChars="200"/>
        <w:jc w:val="center"/>
        <w:rPr>
          <w:rFonts w:hint="eastAsia" w:ascii="宋体" w:hAnsi="宋体" w:eastAsia="宋体" w:cs="宋体"/>
          <w:sz w:val="28"/>
          <w:szCs w:val="28"/>
          <w:lang w:eastAsia="zh-CN"/>
        </w:rPr>
      </w:pPr>
      <w:r>
        <w:rPr>
          <w:rFonts w:hint="eastAsia" w:ascii="宋体" w:hAnsi="宋体" w:eastAsia="宋体" w:cs="宋体"/>
          <w:sz w:val="28"/>
          <w:szCs w:val="28"/>
          <w:lang w:eastAsia="zh-CN"/>
        </w:rPr>
        <w:drawing>
          <wp:inline distT="0" distB="0" distL="114300" distR="114300">
            <wp:extent cx="4319905" cy="1591310"/>
            <wp:effectExtent l="0" t="0" r="10795" b="8890"/>
            <wp:docPr id="9" name="图片 9" descr="17339873129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1733987312984"/>
                    <pic:cNvPicPr>
                      <a:picLocks noChangeAspect="1"/>
                    </pic:cNvPicPr>
                  </pic:nvPicPr>
                  <pic:blipFill>
                    <a:blip r:embed="rId9"/>
                    <a:stretch>
                      <a:fillRect/>
                    </a:stretch>
                  </pic:blipFill>
                  <pic:spPr>
                    <a:xfrm>
                      <a:off x="0" y="0"/>
                      <a:ext cx="4319905" cy="1591310"/>
                    </a:xfrm>
                    <a:prstGeom prst="rect">
                      <a:avLst/>
                    </a:prstGeom>
                  </pic:spPr>
                </pic:pic>
              </a:graphicData>
            </a:graphic>
          </wp:inline>
        </w:drawing>
      </w:r>
    </w:p>
    <w:p w14:paraId="1707146F">
      <w:pPr>
        <w:spacing w:line="360" w:lineRule="auto"/>
        <w:ind w:firstLine="420" w:firstLineChars="200"/>
        <w:jc w:val="center"/>
        <w:rPr>
          <w:rFonts w:hint="default" w:ascii="仿宋_GB2312" w:hAnsi="仿宋_GB2312" w:eastAsia="仿宋_GB2312" w:cs="仿宋_GB2312"/>
          <w:color w:val="000000" w:themeColor="text1"/>
          <w:sz w:val="21"/>
          <w:szCs w:val="21"/>
          <w:shd w:val="clear" w:color="auto" w:fill="FFFFFF"/>
          <w:lang w:val="en-US" w:eastAsia="zh-CN"/>
          <w14:textFill>
            <w14:solidFill>
              <w14:schemeClr w14:val="tx1"/>
            </w14:solidFill>
          </w14:textFill>
        </w:rPr>
      </w:pPr>
      <w:r>
        <w:rPr>
          <w:rFonts w:hint="eastAsia" w:ascii="仿宋_GB2312" w:hAnsi="仿宋_GB2312" w:eastAsia="仿宋_GB2312" w:cs="仿宋_GB2312"/>
          <w:color w:val="000000" w:themeColor="text1"/>
          <w:sz w:val="21"/>
          <w:szCs w:val="21"/>
          <w:shd w:val="clear" w:color="auto" w:fill="FFFFFF"/>
          <w:lang w:val="en-US" w:eastAsia="zh-CN"/>
          <w14:textFill>
            <w14:solidFill>
              <w14:schemeClr w14:val="tx1"/>
            </w14:solidFill>
          </w14:textFill>
        </w:rPr>
        <w:t>图4：舞蹈表演专业课程体系</w:t>
      </w:r>
    </w:p>
    <w:p w14:paraId="4EB8BB2A">
      <w:pPr>
        <w:spacing w:line="360" w:lineRule="auto"/>
        <w:ind w:firstLine="480" w:firstLineChars="200"/>
        <w:rPr>
          <w:rFonts w:hint="eastAsia" w:ascii="宋体" w:hAnsi="宋体" w:eastAsia="宋体" w:cs="宋体"/>
          <w:sz w:val="28"/>
          <w:szCs w:val="28"/>
          <w:lang w:eastAsia="zh-CN"/>
        </w:rPr>
      </w:pPr>
      <w:r>
        <w:rPr>
          <w:rFonts w:hint="eastAsia" w:ascii="仿宋_GB2312" w:hAnsi="仿宋_GB2312" w:eastAsia="仿宋_GB2312" w:cs="仿宋_GB2312"/>
          <w:color w:val="000000" w:themeColor="text1"/>
          <w:sz w:val="24"/>
          <w:szCs w:val="24"/>
          <w:shd w:val="clear" w:color="auto" w:fill="FFFFFF"/>
          <w:lang w:eastAsia="zh-CN"/>
          <w14:textFill>
            <w14:solidFill>
              <w14:schemeClr w14:val="tx1"/>
            </w14:solidFill>
          </w14:textFill>
        </w:rPr>
        <w:t>深化校企合作过程中，专业与表演团体紧密协作，共同研发课程与教学资源。以舞蹈表演专业精品课程建设为引领，以网络课程建设为手段，以题库、电子教案和各项教学资源建设为基础，不断完善各课程教学大纲、教学计划，并制订实训教学大纲，明确教学要求及标准，致力于打造以实践操作为核心，知识、能力、素质并重的优质核心课程。</w:t>
      </w:r>
    </w:p>
    <w:p w14:paraId="67B3D1AF">
      <w:pPr>
        <w:numPr>
          <w:ilvl w:val="0"/>
          <w:numId w:val="1"/>
        </w:numPr>
        <w:spacing w:line="360" w:lineRule="auto"/>
        <w:ind w:firstLine="482" w:firstLineChars="200"/>
        <w:rPr>
          <w:rFonts w:hint="eastAsia" w:ascii="仿宋_GB2312" w:hAnsi="仿宋_GB2312" w:eastAsia="仿宋_GB2312" w:cs="仿宋_GB2312"/>
          <w:b/>
          <w:bCs/>
          <w:color w:val="000000" w:themeColor="text1"/>
          <w:sz w:val="24"/>
          <w:szCs w:val="24"/>
          <w:shd w:val="clear" w:color="auto" w:fill="FFFFFF"/>
          <w14:textFill>
            <w14:solidFill>
              <w14:schemeClr w14:val="tx1"/>
            </w14:solidFill>
          </w14:textFill>
        </w:rPr>
      </w:pPr>
      <w:r>
        <w:rPr>
          <w:rFonts w:hint="eastAsia" w:ascii="仿宋_GB2312" w:hAnsi="仿宋_GB2312" w:eastAsia="仿宋_GB2312" w:cs="仿宋_GB2312"/>
          <w:b/>
          <w:bCs/>
          <w:color w:val="000000" w:themeColor="text1"/>
          <w:sz w:val="24"/>
          <w:szCs w:val="24"/>
          <w:shd w:val="clear" w:color="auto" w:fill="FFFFFF"/>
          <w14:textFill>
            <w14:solidFill>
              <w14:schemeClr w14:val="tx1"/>
            </w14:solidFill>
          </w14:textFill>
        </w:rPr>
        <w:t>教材建设</w:t>
      </w:r>
    </w:p>
    <w:p w14:paraId="21DD5509">
      <w:pPr>
        <w:spacing w:line="360" w:lineRule="auto"/>
        <w:ind w:firstLine="480" w:firstLineChars="200"/>
        <w:rPr>
          <w:rFonts w:hint="eastAsia" w:ascii="仿宋_GB2312" w:hAnsi="仿宋_GB2312" w:eastAsia="仿宋_GB2312" w:cs="仿宋_GB2312"/>
          <w:color w:val="000000" w:themeColor="text1"/>
          <w:sz w:val="24"/>
          <w:szCs w:val="24"/>
          <w:shd w:val="clear" w:color="auto" w:fill="FFFFFF"/>
          <w:lang w:val="en-US" w:eastAsia="zh-CN"/>
          <w14:textFill>
            <w14:solidFill>
              <w14:schemeClr w14:val="tx1"/>
            </w14:solidFill>
          </w14:textFill>
        </w:rPr>
      </w:pPr>
      <w:r>
        <w:rPr>
          <w:rFonts w:hint="eastAsia" w:ascii="仿宋_GB2312" w:hAnsi="仿宋_GB2312" w:eastAsia="仿宋_GB2312" w:cs="仿宋_GB2312"/>
          <w:color w:val="000000" w:themeColor="text1"/>
          <w:sz w:val="24"/>
          <w:szCs w:val="24"/>
          <w:shd w:val="clear" w:color="auto" w:fill="FFFFFF"/>
          <w:lang w:val="en-US" w:eastAsia="zh-CN"/>
          <w14:textFill>
            <w14:solidFill>
              <w14:schemeClr w14:val="tx1"/>
            </w14:solidFill>
          </w14:textFill>
        </w:rPr>
        <w:t>为提升课程建设成效，舞蹈表演专业教师启动了《江南民间舞蹈》《中国民族民间舞》《现代舞激发》等课程的资源库建设工作。苏州市公共文化中心的吴佳、胡天宇等积极参与，分工协作完成理论知识讲授、单项技能训练、综合技能训练以及视频讲解录制等全部内容。目前，这些在线课程已面向舞蹈表演专业在校生开放学习。</w:t>
      </w:r>
    </w:p>
    <w:p w14:paraId="298A6D68">
      <w:pPr>
        <w:spacing w:line="360" w:lineRule="auto"/>
        <w:ind w:firstLine="480" w:firstLineChars="200"/>
        <w:rPr>
          <w:rFonts w:hint="eastAsia" w:ascii="仿宋_GB2312" w:hAnsi="仿宋_GB2312" w:eastAsia="仿宋_GB2312" w:cs="仿宋_GB2312"/>
          <w:color w:val="000000" w:themeColor="text1"/>
          <w:sz w:val="24"/>
          <w:szCs w:val="24"/>
          <w:shd w:val="clear" w:color="auto" w:fill="FFFFFF"/>
          <w:lang w:val="en-US" w:eastAsia="zh-CN"/>
          <w14:textFill>
            <w14:solidFill>
              <w14:schemeClr w14:val="tx1"/>
            </w14:solidFill>
          </w14:textFill>
        </w:rPr>
      </w:pPr>
      <w:r>
        <w:rPr>
          <w:rFonts w:hint="eastAsia" w:ascii="仿宋_GB2312" w:hAnsi="仿宋_GB2312" w:eastAsia="仿宋_GB2312" w:cs="仿宋_GB2312"/>
          <w:color w:val="000000" w:themeColor="text1"/>
          <w:sz w:val="24"/>
          <w:szCs w:val="24"/>
          <w:shd w:val="clear" w:color="auto" w:fill="FFFFFF"/>
          <w:lang w:val="en-US" w:eastAsia="zh-CN"/>
          <w14:textFill>
            <w14:solidFill>
              <w14:schemeClr w14:val="tx1"/>
            </w14:solidFill>
          </w14:textFill>
        </w:rPr>
        <w:t>在线课程充分体现舞蹈表演专业特点，紧密结合舞蹈技术进步、岗位要求变化、学情变化以及培养目标调整，全面覆盖教学过程。课程注重挖掘学生学习潜能，调动学习积极性，同时将爱岗敬业、勇于奉献、吃苦耐劳、精益求精的职业精神融入教学，帮助学生树立正确的世界观、人生观和价值观，培养学生爱党、爱国、爱人民的高尚品质。</w:t>
      </w:r>
    </w:p>
    <w:p w14:paraId="0EAA9B44">
      <w:pPr>
        <w:spacing w:line="360" w:lineRule="auto"/>
        <w:ind w:firstLine="480" w:firstLineChars="200"/>
        <w:jc w:val="center"/>
        <w:rPr>
          <w:rFonts w:hint="eastAsia" w:ascii="仿宋_GB2312" w:hAnsi="仿宋_GB2312" w:eastAsia="仿宋_GB2312" w:cs="仿宋_GB2312"/>
          <w:color w:val="000000" w:themeColor="text1"/>
          <w:sz w:val="24"/>
          <w:szCs w:val="24"/>
          <w:shd w:val="clear" w:color="auto" w:fill="FFFFFF"/>
          <w:lang w:val="en-US" w:eastAsia="zh-CN"/>
          <w14:textFill>
            <w14:solidFill>
              <w14:schemeClr w14:val="tx1"/>
            </w14:solidFill>
          </w14:textFill>
        </w:rPr>
      </w:pPr>
      <w:r>
        <w:rPr>
          <w:rFonts w:hint="eastAsia" w:ascii="仿宋_GB2312" w:hAnsi="仿宋_GB2312" w:eastAsia="仿宋_GB2312" w:cs="仿宋_GB2312"/>
          <w:color w:val="000000" w:themeColor="text1"/>
          <w:sz w:val="24"/>
          <w:szCs w:val="24"/>
          <w:shd w:val="clear" w:color="auto" w:fill="FFFFFF"/>
          <w:lang w:val="en-US" w:eastAsia="zh-CN"/>
          <w14:textFill>
            <w14:solidFill>
              <w14:schemeClr w14:val="tx1"/>
            </w14:solidFill>
          </w14:textFill>
        </w:rPr>
        <w:drawing>
          <wp:inline distT="0" distB="0" distL="114300" distR="114300">
            <wp:extent cx="4319905" cy="2047240"/>
            <wp:effectExtent l="0" t="0" r="10795" b="10160"/>
            <wp:docPr id="16" name="图片 16" descr="5d965c3460894daff79c513839fa6a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descr="5d965c3460894daff79c513839fa6a4"/>
                    <pic:cNvPicPr>
                      <a:picLocks noChangeAspect="1"/>
                    </pic:cNvPicPr>
                  </pic:nvPicPr>
                  <pic:blipFill>
                    <a:blip r:embed="rId10"/>
                    <a:srcRect t="7841"/>
                    <a:stretch>
                      <a:fillRect/>
                    </a:stretch>
                  </pic:blipFill>
                  <pic:spPr>
                    <a:xfrm>
                      <a:off x="0" y="0"/>
                      <a:ext cx="4319905" cy="2047240"/>
                    </a:xfrm>
                    <a:prstGeom prst="rect">
                      <a:avLst/>
                    </a:prstGeom>
                  </pic:spPr>
                </pic:pic>
              </a:graphicData>
            </a:graphic>
          </wp:inline>
        </w:drawing>
      </w:r>
    </w:p>
    <w:p w14:paraId="6A5F8E74">
      <w:pPr>
        <w:spacing w:line="360" w:lineRule="auto"/>
        <w:ind w:firstLine="420" w:firstLineChars="200"/>
        <w:jc w:val="center"/>
        <w:rPr>
          <w:rFonts w:hint="default" w:ascii="仿宋_GB2312" w:hAnsi="仿宋_GB2312" w:eastAsia="仿宋_GB2312" w:cs="仿宋_GB2312"/>
          <w:color w:val="000000" w:themeColor="text1"/>
          <w:sz w:val="21"/>
          <w:szCs w:val="21"/>
          <w:shd w:val="clear" w:color="auto" w:fill="FFFFFF"/>
          <w:lang w:val="en-US" w:eastAsia="zh-CN"/>
          <w14:textFill>
            <w14:solidFill>
              <w14:schemeClr w14:val="tx1"/>
            </w14:solidFill>
          </w14:textFill>
        </w:rPr>
      </w:pPr>
      <w:r>
        <w:rPr>
          <w:rFonts w:hint="eastAsia" w:ascii="仿宋_GB2312" w:hAnsi="仿宋_GB2312" w:eastAsia="仿宋_GB2312" w:cs="仿宋_GB2312"/>
          <w:color w:val="000000" w:themeColor="text1"/>
          <w:sz w:val="21"/>
          <w:szCs w:val="21"/>
          <w:shd w:val="clear" w:color="auto" w:fill="FFFFFF"/>
          <w:lang w:val="en-US" w:eastAsia="zh-CN"/>
          <w14:textFill>
            <w14:solidFill>
              <w14:schemeClr w14:val="tx1"/>
            </w14:solidFill>
          </w14:textFill>
        </w:rPr>
        <w:t>图5：学习通在线课程</w:t>
      </w:r>
    </w:p>
    <w:p w14:paraId="78800CD9">
      <w:pPr>
        <w:spacing w:line="360" w:lineRule="auto"/>
        <w:ind w:firstLine="482" w:firstLineChars="200"/>
        <w:rPr>
          <w:rFonts w:ascii="仿宋_GB2312" w:hAnsi="仿宋_GB2312" w:eastAsia="仿宋_GB2312" w:cs="仿宋_GB2312"/>
          <w:b/>
          <w:bCs/>
          <w:color w:val="000000" w:themeColor="text1"/>
          <w:sz w:val="24"/>
          <w:szCs w:val="24"/>
          <w:shd w:val="clear" w:color="auto" w:fill="FFFFFF"/>
          <w14:textFill>
            <w14:solidFill>
              <w14:schemeClr w14:val="tx1"/>
            </w14:solidFill>
          </w14:textFill>
        </w:rPr>
      </w:pPr>
      <w:r>
        <w:rPr>
          <w:rFonts w:hint="eastAsia" w:ascii="仿宋_GB2312" w:hAnsi="仿宋_GB2312" w:eastAsia="仿宋_GB2312" w:cs="仿宋_GB2312"/>
          <w:b/>
          <w:bCs/>
          <w:color w:val="000000" w:themeColor="text1"/>
          <w:sz w:val="24"/>
          <w:szCs w:val="24"/>
          <w:shd w:val="clear" w:color="auto" w:fill="FFFFFF"/>
          <w14:textFill>
            <w14:solidFill>
              <w14:schemeClr w14:val="tx1"/>
            </w14:solidFill>
          </w14:textFill>
        </w:rPr>
        <w:t>（四）师资建设</w:t>
      </w:r>
    </w:p>
    <w:p w14:paraId="21D05AF8">
      <w:pPr>
        <w:spacing w:line="360" w:lineRule="auto"/>
        <w:ind w:firstLine="480" w:firstLineChars="200"/>
        <w:rPr>
          <w:rFonts w:hint="eastAsia" w:ascii="仿宋_GB2312" w:hAnsi="仿宋_GB2312" w:eastAsia="仿宋_GB2312" w:cs="仿宋_GB2312"/>
          <w:color w:val="000000" w:themeColor="text1"/>
          <w:sz w:val="24"/>
          <w:szCs w:val="24"/>
          <w:shd w:val="clear" w:color="auto" w:fill="FFFFFF"/>
          <w:lang w:val="en-US" w:eastAsia="zh-CN"/>
          <w14:textFill>
            <w14:solidFill>
              <w14:schemeClr w14:val="tx1"/>
            </w14:solidFill>
          </w14:textFill>
        </w:rPr>
      </w:pPr>
      <w:r>
        <w:rPr>
          <w:rFonts w:hint="eastAsia" w:ascii="仿宋_GB2312" w:hAnsi="仿宋_GB2312" w:eastAsia="仿宋_GB2312" w:cs="仿宋_GB2312"/>
          <w:color w:val="000000" w:themeColor="text1"/>
          <w:sz w:val="24"/>
          <w:szCs w:val="24"/>
          <w:shd w:val="clear" w:color="auto" w:fill="FFFFFF"/>
          <w:lang w:val="en-US" w:eastAsia="zh-CN"/>
          <w14:textFill>
            <w14:solidFill>
              <w14:schemeClr w14:val="tx1"/>
            </w14:solidFill>
          </w14:textFill>
        </w:rPr>
        <w:t>为提升课程实践训练效果，舞蹈表演专业积极邀请一线演员担任舞蹈剧目课程、基本功训练课程的指导教师。通过示范讲解、舞台与课堂相结合的实践训练方式，有效解决学生在舞台表演中的技术问题，提高学生的舞台表演职业素养。借助信息化教学手段，结合教师示范讲解，向学生传授专业技术能力及舞蹈知识。“双导师”制的实施，全面提升了人才培养质量，重点解决了舞台实践演出及舞蹈演员岗位存在的实际问题。</w:t>
      </w:r>
    </w:p>
    <w:p w14:paraId="1ADB3834">
      <w:pPr>
        <w:spacing w:line="360" w:lineRule="auto"/>
        <w:ind w:firstLine="480" w:firstLineChars="200"/>
        <w:jc w:val="center"/>
        <w:rPr>
          <w:rFonts w:hint="eastAsia" w:ascii="仿宋_GB2312" w:hAnsi="仿宋_GB2312" w:eastAsia="仿宋_GB2312" w:cs="仿宋_GB2312"/>
          <w:color w:val="000000" w:themeColor="text1"/>
          <w:sz w:val="24"/>
          <w:szCs w:val="24"/>
          <w:shd w:val="clear" w:color="auto" w:fill="FFFFFF"/>
          <w:lang w:val="en-US" w:eastAsia="zh-CN"/>
          <w14:textFill>
            <w14:solidFill>
              <w14:schemeClr w14:val="tx1"/>
            </w14:solidFill>
          </w14:textFill>
        </w:rPr>
      </w:pPr>
      <w:r>
        <w:rPr>
          <w:rFonts w:hint="eastAsia" w:ascii="仿宋_GB2312" w:hAnsi="仿宋_GB2312" w:eastAsia="仿宋_GB2312" w:cs="仿宋_GB2312"/>
          <w:color w:val="000000" w:themeColor="text1"/>
          <w:sz w:val="24"/>
          <w:szCs w:val="24"/>
          <w:shd w:val="clear" w:color="auto" w:fill="FFFFFF"/>
          <w:lang w:val="en-US" w:eastAsia="zh-CN"/>
          <w14:textFill>
            <w14:solidFill>
              <w14:schemeClr w14:val="tx1"/>
            </w14:solidFill>
          </w14:textFill>
        </w:rPr>
        <w:drawing>
          <wp:inline distT="0" distB="0" distL="114300" distR="114300">
            <wp:extent cx="4319905" cy="2161540"/>
            <wp:effectExtent l="0" t="0" r="10795" b="10160"/>
            <wp:docPr id="10" name="图片 10" descr="8a7b1907156c92ba51d25ebb1596ac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8a7b1907156c92ba51d25ebb1596ac0"/>
                    <pic:cNvPicPr>
                      <a:picLocks noChangeAspect="1"/>
                    </pic:cNvPicPr>
                  </pic:nvPicPr>
                  <pic:blipFill>
                    <a:blip r:embed="rId11"/>
                    <a:stretch>
                      <a:fillRect/>
                    </a:stretch>
                  </pic:blipFill>
                  <pic:spPr>
                    <a:xfrm>
                      <a:off x="0" y="0"/>
                      <a:ext cx="4319905" cy="2161540"/>
                    </a:xfrm>
                    <a:prstGeom prst="rect">
                      <a:avLst/>
                    </a:prstGeom>
                  </pic:spPr>
                </pic:pic>
              </a:graphicData>
            </a:graphic>
          </wp:inline>
        </w:drawing>
      </w:r>
    </w:p>
    <w:p w14:paraId="43553164">
      <w:pPr>
        <w:spacing w:line="360" w:lineRule="auto"/>
        <w:ind w:firstLine="420" w:firstLineChars="200"/>
        <w:jc w:val="center"/>
        <w:rPr>
          <w:rFonts w:hint="default" w:ascii="仿宋_GB2312" w:hAnsi="仿宋_GB2312" w:eastAsia="仿宋_GB2312" w:cs="仿宋_GB2312"/>
          <w:color w:val="000000" w:themeColor="text1"/>
          <w:sz w:val="21"/>
          <w:szCs w:val="21"/>
          <w:shd w:val="clear" w:color="auto" w:fill="FFFFFF"/>
          <w:lang w:val="en-US" w:eastAsia="zh-CN"/>
          <w14:textFill>
            <w14:solidFill>
              <w14:schemeClr w14:val="tx1"/>
            </w14:solidFill>
          </w14:textFill>
        </w:rPr>
      </w:pPr>
      <w:r>
        <w:rPr>
          <w:rFonts w:hint="eastAsia" w:ascii="仿宋_GB2312" w:hAnsi="仿宋_GB2312" w:eastAsia="仿宋_GB2312" w:cs="仿宋_GB2312"/>
          <w:color w:val="000000" w:themeColor="text1"/>
          <w:sz w:val="21"/>
          <w:szCs w:val="21"/>
          <w:shd w:val="clear" w:color="auto" w:fill="FFFFFF"/>
          <w:lang w:val="en-US" w:eastAsia="zh-CN"/>
          <w14:textFill>
            <w14:solidFill>
              <w14:schemeClr w14:val="tx1"/>
            </w14:solidFill>
          </w14:textFill>
        </w:rPr>
        <w:t>图6：公共文化中心吴佳老师进入课堂指导教学</w:t>
      </w:r>
    </w:p>
    <w:p w14:paraId="066474FA">
      <w:pPr>
        <w:spacing w:line="360" w:lineRule="auto"/>
        <w:ind w:firstLine="480" w:firstLineChars="200"/>
        <w:rPr>
          <w:rFonts w:hint="eastAsia" w:ascii="仿宋_GB2312" w:hAnsi="仿宋_GB2312" w:eastAsia="仿宋_GB2312" w:cs="仿宋_GB2312"/>
          <w:color w:val="000000" w:themeColor="text1"/>
          <w:sz w:val="24"/>
          <w:szCs w:val="24"/>
          <w:shd w:val="clear" w:color="auto" w:fill="FFFFFF"/>
          <w:lang w:eastAsia="zh-CN"/>
          <w14:textFill>
            <w14:solidFill>
              <w14:schemeClr w14:val="tx1"/>
            </w14:solidFill>
          </w14:textFill>
        </w:rPr>
      </w:pPr>
      <w:r>
        <w:rPr>
          <w:rFonts w:hint="eastAsia" w:ascii="仿宋_GB2312" w:hAnsi="仿宋_GB2312" w:eastAsia="仿宋_GB2312" w:cs="仿宋_GB2312"/>
          <w:color w:val="000000" w:themeColor="text1"/>
          <w:sz w:val="24"/>
          <w:szCs w:val="24"/>
          <w:shd w:val="clear" w:color="auto" w:fill="FFFFFF"/>
          <w:lang w:val="en-US" w:eastAsia="zh-CN"/>
          <w14:textFill>
            <w14:solidFill>
              <w14:schemeClr w14:val="tx1"/>
            </w14:solidFill>
          </w14:textFill>
        </w:rPr>
        <w:t>此外，为提升教师教学实训能力和学术水平，舞蹈表演专业积极组织教师参加各级相关科研培训，安排教师到合作企业锻炼，参与一线舞蹈实践，促进教师“双师”素质的提升。这一系列举措有效提高了全体教师的教学能力，营造了良好的教学氛围。</w:t>
      </w:r>
    </w:p>
    <w:p w14:paraId="1F12CDE9">
      <w:pPr>
        <w:spacing w:line="360" w:lineRule="auto"/>
        <w:ind w:firstLine="480" w:firstLineChars="200"/>
        <w:jc w:val="center"/>
        <w:rPr>
          <w:rFonts w:hint="eastAsia" w:ascii="仿宋_GB2312" w:hAnsi="仿宋_GB2312" w:eastAsia="仿宋_GB2312" w:cs="仿宋_GB2312"/>
          <w:color w:val="000000" w:themeColor="text1"/>
          <w:sz w:val="24"/>
          <w:szCs w:val="24"/>
          <w:shd w:val="clear" w:color="auto" w:fill="FFFFFF"/>
          <w:lang w:eastAsia="zh-CN"/>
          <w14:textFill>
            <w14:solidFill>
              <w14:schemeClr w14:val="tx1"/>
            </w14:solidFill>
          </w14:textFill>
        </w:rPr>
      </w:pPr>
      <w:r>
        <w:rPr>
          <w:rFonts w:hint="eastAsia" w:ascii="仿宋_GB2312" w:hAnsi="仿宋_GB2312" w:eastAsia="仿宋_GB2312" w:cs="仿宋_GB2312"/>
          <w:color w:val="000000" w:themeColor="text1"/>
          <w:sz w:val="24"/>
          <w:szCs w:val="24"/>
          <w:shd w:val="clear" w:color="auto" w:fill="FFFFFF"/>
          <w:lang w:eastAsia="zh-CN"/>
          <w14:textFill>
            <w14:solidFill>
              <w14:schemeClr w14:val="tx1"/>
            </w14:solidFill>
          </w14:textFill>
        </w:rPr>
        <w:drawing>
          <wp:inline distT="0" distB="0" distL="114300" distR="114300">
            <wp:extent cx="4319905" cy="2592705"/>
            <wp:effectExtent l="0" t="0" r="10795" b="10795"/>
            <wp:docPr id="17" name="图片 17" descr="d9d0a6592d67616d706de0ef16787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descr="d9d0a6592d67616d706de0ef1678785"/>
                    <pic:cNvPicPr>
                      <a:picLocks noChangeAspect="1"/>
                    </pic:cNvPicPr>
                  </pic:nvPicPr>
                  <pic:blipFill>
                    <a:blip r:embed="rId12"/>
                    <a:stretch>
                      <a:fillRect/>
                    </a:stretch>
                  </pic:blipFill>
                  <pic:spPr>
                    <a:xfrm>
                      <a:off x="0" y="0"/>
                      <a:ext cx="4319905" cy="2592705"/>
                    </a:xfrm>
                    <a:prstGeom prst="rect">
                      <a:avLst/>
                    </a:prstGeom>
                  </pic:spPr>
                </pic:pic>
              </a:graphicData>
            </a:graphic>
          </wp:inline>
        </w:drawing>
      </w:r>
    </w:p>
    <w:p w14:paraId="695A133D">
      <w:pPr>
        <w:spacing w:line="360" w:lineRule="auto"/>
        <w:ind w:firstLine="420" w:firstLineChars="200"/>
        <w:jc w:val="center"/>
        <w:rPr>
          <w:rFonts w:hint="default" w:ascii="仿宋_GB2312" w:hAnsi="仿宋_GB2312" w:eastAsia="仿宋_GB2312" w:cs="仿宋_GB2312"/>
          <w:color w:val="000000" w:themeColor="text1"/>
          <w:sz w:val="21"/>
          <w:szCs w:val="21"/>
          <w:shd w:val="clear" w:color="auto" w:fill="FFFFFF"/>
          <w:lang w:val="en-US" w:eastAsia="zh-CN"/>
          <w14:textFill>
            <w14:solidFill>
              <w14:schemeClr w14:val="tx1"/>
            </w14:solidFill>
          </w14:textFill>
        </w:rPr>
      </w:pPr>
      <w:r>
        <w:rPr>
          <w:rFonts w:hint="eastAsia" w:ascii="仿宋_GB2312" w:hAnsi="仿宋_GB2312" w:eastAsia="仿宋_GB2312" w:cs="仿宋_GB2312"/>
          <w:color w:val="000000" w:themeColor="text1"/>
          <w:sz w:val="21"/>
          <w:szCs w:val="21"/>
          <w:shd w:val="clear" w:color="auto" w:fill="FFFFFF"/>
          <w:lang w:val="en-US" w:eastAsia="zh-CN"/>
          <w14:textFill>
            <w14:solidFill>
              <w14:schemeClr w14:val="tx1"/>
            </w14:solidFill>
          </w14:textFill>
        </w:rPr>
        <w:t>图7：唐梦洁老师参与文化中心舞蹈表演</w:t>
      </w:r>
    </w:p>
    <w:p w14:paraId="1C7068FA">
      <w:pPr>
        <w:spacing w:line="360" w:lineRule="auto"/>
        <w:ind w:firstLine="480" w:firstLineChars="200"/>
        <w:jc w:val="center"/>
        <w:rPr>
          <w:rFonts w:hint="default" w:ascii="仿宋_GB2312" w:hAnsi="仿宋_GB2312" w:eastAsia="仿宋_GB2312" w:cs="仿宋_GB2312"/>
          <w:b w:val="0"/>
          <w:bCs w:val="0"/>
          <w:color w:val="000000" w:themeColor="text1"/>
          <w:sz w:val="24"/>
          <w:szCs w:val="24"/>
          <w:shd w:val="clear" w:color="auto" w:fill="FFFFFF"/>
          <w:lang w:val="en-US" w:eastAsia="zh-CN"/>
          <w14:textFill>
            <w14:solidFill>
              <w14:schemeClr w14:val="tx1"/>
            </w14:solidFill>
          </w14:textFill>
        </w:rPr>
      </w:pPr>
      <w:r>
        <w:rPr>
          <w:rFonts w:hint="default" w:ascii="仿宋_GB2312" w:hAnsi="仿宋_GB2312" w:eastAsia="仿宋_GB2312" w:cs="仿宋_GB2312"/>
          <w:b w:val="0"/>
          <w:bCs w:val="0"/>
          <w:color w:val="000000" w:themeColor="text1"/>
          <w:sz w:val="24"/>
          <w:szCs w:val="24"/>
          <w:shd w:val="clear" w:color="auto" w:fill="FFFFFF"/>
          <w:lang w:val="en-US" w:eastAsia="zh-CN"/>
          <w14:textFill>
            <w14:solidFill>
              <w14:schemeClr w14:val="tx1"/>
            </w14:solidFill>
          </w14:textFill>
        </w:rPr>
        <w:drawing>
          <wp:inline distT="0" distB="0" distL="114300" distR="114300">
            <wp:extent cx="4319905" cy="2967990"/>
            <wp:effectExtent l="0" t="0" r="10795" b="3810"/>
            <wp:docPr id="18" name="图片 18" descr="33a489d190a8396ce4836a7d7d96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descr="33a489d190a8396ce4836a7d7d96518"/>
                    <pic:cNvPicPr>
                      <a:picLocks noChangeAspect="1"/>
                    </pic:cNvPicPr>
                  </pic:nvPicPr>
                  <pic:blipFill>
                    <a:blip r:embed="rId13"/>
                    <a:stretch>
                      <a:fillRect/>
                    </a:stretch>
                  </pic:blipFill>
                  <pic:spPr>
                    <a:xfrm>
                      <a:off x="0" y="0"/>
                      <a:ext cx="4319905" cy="2967990"/>
                    </a:xfrm>
                    <a:prstGeom prst="rect">
                      <a:avLst/>
                    </a:prstGeom>
                  </pic:spPr>
                </pic:pic>
              </a:graphicData>
            </a:graphic>
          </wp:inline>
        </w:drawing>
      </w:r>
    </w:p>
    <w:p w14:paraId="3E469E43">
      <w:pPr>
        <w:spacing w:line="360" w:lineRule="auto"/>
        <w:ind w:firstLine="420" w:firstLineChars="200"/>
        <w:jc w:val="center"/>
        <w:rPr>
          <w:rFonts w:hint="default" w:ascii="仿宋_GB2312" w:hAnsi="仿宋_GB2312" w:eastAsia="仿宋_GB2312" w:cs="仿宋_GB2312"/>
          <w:color w:val="000000" w:themeColor="text1"/>
          <w:sz w:val="21"/>
          <w:szCs w:val="21"/>
          <w:shd w:val="clear" w:color="auto" w:fill="FFFFFF"/>
          <w:lang w:val="en-US" w:eastAsia="zh-CN"/>
          <w14:textFill>
            <w14:solidFill>
              <w14:schemeClr w14:val="tx1"/>
            </w14:solidFill>
          </w14:textFill>
        </w:rPr>
      </w:pPr>
      <w:r>
        <w:rPr>
          <w:rFonts w:hint="eastAsia" w:ascii="仿宋_GB2312" w:hAnsi="仿宋_GB2312" w:eastAsia="仿宋_GB2312" w:cs="仿宋_GB2312"/>
          <w:color w:val="000000" w:themeColor="text1"/>
          <w:sz w:val="21"/>
          <w:szCs w:val="21"/>
          <w:shd w:val="clear" w:color="auto" w:fill="FFFFFF"/>
          <w:lang w:val="en-US" w:eastAsia="zh-CN"/>
          <w14:textFill>
            <w14:solidFill>
              <w14:schemeClr w14:val="tx1"/>
            </w14:solidFill>
          </w14:textFill>
        </w:rPr>
        <w:t>图8：舞蹈表演专业校内教师校外实训基地学习实践</w:t>
      </w:r>
    </w:p>
    <w:p w14:paraId="6379DEB6">
      <w:pPr>
        <w:spacing w:line="360" w:lineRule="auto"/>
        <w:ind w:firstLine="482" w:firstLineChars="200"/>
        <w:rPr>
          <w:rFonts w:ascii="仿宋_GB2312" w:hAnsi="仿宋_GB2312" w:eastAsia="仿宋_GB2312" w:cs="仿宋_GB2312"/>
          <w:b/>
          <w:bCs/>
          <w:color w:val="000000" w:themeColor="text1"/>
          <w:sz w:val="24"/>
          <w:szCs w:val="24"/>
          <w:shd w:val="clear" w:color="auto" w:fill="FFFFFF"/>
          <w14:textFill>
            <w14:solidFill>
              <w14:schemeClr w14:val="tx1"/>
            </w14:solidFill>
          </w14:textFill>
        </w:rPr>
      </w:pPr>
      <w:r>
        <w:rPr>
          <w:rFonts w:hint="eastAsia" w:ascii="仿宋_GB2312" w:hAnsi="仿宋_GB2312" w:eastAsia="仿宋_GB2312" w:cs="仿宋_GB2312"/>
          <w:b/>
          <w:bCs/>
          <w:color w:val="000000" w:themeColor="text1"/>
          <w:sz w:val="24"/>
          <w:szCs w:val="24"/>
          <w:shd w:val="clear" w:color="auto" w:fill="FFFFFF"/>
          <w14:textFill>
            <w14:solidFill>
              <w14:schemeClr w14:val="tx1"/>
            </w14:solidFill>
          </w14:textFill>
        </w:rPr>
        <w:t>（五）实训实习建设</w:t>
      </w:r>
    </w:p>
    <w:p w14:paraId="05EFAAC9">
      <w:pPr>
        <w:spacing w:line="360" w:lineRule="auto"/>
        <w:ind w:firstLine="480" w:firstLineChars="200"/>
        <w:rPr>
          <w:rFonts w:hint="eastAsia" w:ascii="仿宋_GB2312" w:hAnsi="仿宋_GB2312" w:eastAsia="仿宋_GB2312" w:cs="仿宋_GB2312"/>
          <w:b w:val="0"/>
          <w:bCs w:val="0"/>
          <w:color w:val="000000" w:themeColor="text1"/>
          <w:sz w:val="24"/>
          <w:szCs w:val="24"/>
          <w:shd w:val="clear" w:color="auto" w:fill="FFFFFF"/>
          <w:lang w:eastAsia="zh-CN"/>
          <w14:textFill>
            <w14:solidFill>
              <w14:schemeClr w14:val="tx1"/>
            </w14:solidFill>
          </w14:textFill>
        </w:rPr>
      </w:pPr>
      <w:r>
        <w:rPr>
          <w:rFonts w:hint="eastAsia" w:ascii="仿宋_GB2312" w:hAnsi="仿宋_GB2312" w:eastAsia="仿宋_GB2312" w:cs="仿宋_GB2312"/>
          <w:b w:val="0"/>
          <w:bCs w:val="0"/>
          <w:color w:val="000000" w:themeColor="text1"/>
          <w:sz w:val="24"/>
          <w:szCs w:val="24"/>
          <w:shd w:val="clear" w:color="auto" w:fill="FFFFFF"/>
          <w:lang w:eastAsia="zh-CN"/>
          <w14:textFill>
            <w14:solidFill>
              <w14:schemeClr w14:val="tx1"/>
            </w14:solidFill>
          </w14:textFill>
        </w:rPr>
        <w:t>舞蹈表演专业秉持以“演”促“训”、以“赛”促“练”的理念，融合多种方式提升舞蹈人才培养质量。专业以能力培养为核心，强化实践性教学，注重提高学生的舞台实践能力，积极鼓励学生参加校内外比赛及演出，为学生提供丰富的舞台表演技能实训机会。校内实训形式多样，涵盖舞台表演、剧目排练、专业比赛、采风观摩、公益汇演、交流演出等；校外则安排学生在文化企业或文艺团体进行舞蹈相关的指导、培训和管理实践。</w:t>
      </w:r>
    </w:p>
    <w:p w14:paraId="502DFEF9">
      <w:pPr>
        <w:spacing w:line="360" w:lineRule="auto"/>
        <w:ind w:firstLine="480" w:firstLineChars="200"/>
        <w:rPr>
          <w:rFonts w:hint="eastAsia" w:ascii="仿宋_GB2312" w:hAnsi="仿宋_GB2312" w:eastAsia="仿宋_GB2312" w:cs="仿宋_GB2312"/>
          <w:color w:val="000000" w:themeColor="text1"/>
          <w:sz w:val="24"/>
          <w:szCs w:val="24"/>
          <w:shd w:val="clear" w:color="auto" w:fill="FFFFFF"/>
          <w:lang w:val="en-US" w:eastAsia="zh-CN"/>
          <w14:textFill>
            <w14:solidFill>
              <w14:schemeClr w14:val="tx1"/>
            </w14:solidFill>
          </w14:textFill>
        </w:rPr>
      </w:pPr>
      <w:r>
        <w:rPr>
          <w:rFonts w:hint="eastAsia" w:ascii="仿宋_GB2312" w:hAnsi="仿宋_GB2312" w:eastAsia="仿宋_GB2312" w:cs="仿宋_GB2312"/>
          <w:b w:val="0"/>
          <w:bCs w:val="0"/>
          <w:color w:val="000000" w:themeColor="text1"/>
          <w:sz w:val="24"/>
          <w:szCs w:val="24"/>
          <w:shd w:val="clear" w:color="auto" w:fill="FFFFFF"/>
          <w:lang w:eastAsia="zh-CN"/>
          <w14:textFill>
            <w14:solidFill>
              <w14:schemeClr w14:val="tx1"/>
            </w14:solidFill>
          </w14:textFill>
        </w:rPr>
        <w:t>2024年4月，舞蹈表演专业成功举办首届“璀璨杯”舞蹈比赛，邀请苏州市公共文化中心专业教师担任评委。比赛分为技术技巧、舞蹈剧目两部分，参赛选手在老师指导下，通过自选剧目、磨炼技术技巧，用灵动的舞步和饱满的热情展示了艺术魅力。</w:t>
      </w:r>
    </w:p>
    <w:p w14:paraId="11B4852F">
      <w:pPr>
        <w:spacing w:line="360" w:lineRule="auto"/>
        <w:ind w:firstLine="480" w:firstLineChars="200"/>
        <w:jc w:val="center"/>
        <w:rPr>
          <w:rFonts w:hint="default" w:ascii="仿宋_GB2312" w:hAnsi="仿宋_GB2312" w:eastAsia="仿宋_GB2312" w:cs="仿宋_GB2312"/>
          <w:color w:val="000000" w:themeColor="text1"/>
          <w:sz w:val="24"/>
          <w:szCs w:val="24"/>
          <w:shd w:val="clear" w:color="auto" w:fill="FFFFFF"/>
          <w:lang w:val="en-US" w:eastAsia="zh-CN"/>
          <w14:textFill>
            <w14:solidFill>
              <w14:schemeClr w14:val="tx1"/>
            </w14:solidFill>
          </w14:textFill>
        </w:rPr>
      </w:pPr>
      <w:r>
        <w:rPr>
          <w:rFonts w:hint="default" w:ascii="仿宋_GB2312" w:hAnsi="仿宋_GB2312" w:eastAsia="仿宋_GB2312" w:cs="仿宋_GB2312"/>
          <w:color w:val="000000" w:themeColor="text1"/>
          <w:sz w:val="24"/>
          <w:szCs w:val="24"/>
          <w:shd w:val="clear" w:color="auto" w:fill="FFFFFF"/>
          <w:lang w:val="en-US" w:eastAsia="zh-CN"/>
          <w14:textFill>
            <w14:solidFill>
              <w14:schemeClr w14:val="tx1"/>
            </w14:solidFill>
          </w14:textFill>
        </w:rPr>
        <w:drawing>
          <wp:inline distT="0" distB="0" distL="114300" distR="114300">
            <wp:extent cx="4274185" cy="1759585"/>
            <wp:effectExtent l="0" t="0" r="5715" b="5715"/>
            <wp:docPr id="14" name="图片 14" descr="1734432365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descr="1734432365212"/>
                    <pic:cNvPicPr>
                      <a:picLocks noChangeAspect="1"/>
                    </pic:cNvPicPr>
                  </pic:nvPicPr>
                  <pic:blipFill>
                    <a:blip r:embed="rId14"/>
                    <a:srcRect l="1058" t="45435"/>
                    <a:stretch>
                      <a:fillRect/>
                    </a:stretch>
                  </pic:blipFill>
                  <pic:spPr>
                    <a:xfrm>
                      <a:off x="0" y="0"/>
                      <a:ext cx="4274185" cy="1759585"/>
                    </a:xfrm>
                    <a:prstGeom prst="rect">
                      <a:avLst/>
                    </a:prstGeom>
                  </pic:spPr>
                </pic:pic>
              </a:graphicData>
            </a:graphic>
          </wp:inline>
        </w:drawing>
      </w:r>
    </w:p>
    <w:p w14:paraId="0E955648">
      <w:pPr>
        <w:spacing w:line="360" w:lineRule="auto"/>
        <w:ind w:firstLine="420" w:firstLineChars="200"/>
        <w:jc w:val="center"/>
        <w:rPr>
          <w:rFonts w:hint="default" w:ascii="仿宋_GB2312" w:hAnsi="仿宋_GB2312" w:eastAsia="仿宋_GB2312" w:cs="仿宋_GB2312"/>
          <w:color w:val="000000" w:themeColor="text1"/>
          <w:sz w:val="21"/>
          <w:szCs w:val="21"/>
          <w:shd w:val="clear" w:color="auto" w:fill="FFFFFF"/>
          <w:lang w:val="en-US" w:eastAsia="zh-CN"/>
          <w14:textFill>
            <w14:solidFill>
              <w14:schemeClr w14:val="tx1"/>
            </w14:solidFill>
          </w14:textFill>
        </w:rPr>
      </w:pPr>
      <w:r>
        <w:rPr>
          <w:rFonts w:hint="eastAsia" w:ascii="仿宋_GB2312" w:hAnsi="仿宋_GB2312" w:eastAsia="仿宋_GB2312" w:cs="仿宋_GB2312"/>
          <w:color w:val="000000" w:themeColor="text1"/>
          <w:sz w:val="21"/>
          <w:szCs w:val="21"/>
          <w:shd w:val="clear" w:color="auto" w:fill="FFFFFF"/>
          <w:lang w:val="en-US" w:eastAsia="zh-CN"/>
          <w14:textFill>
            <w14:solidFill>
              <w14:schemeClr w14:val="tx1"/>
            </w14:solidFill>
          </w14:textFill>
        </w:rPr>
        <w:t>图9：“璀璨杯”舞蹈比赛选手决赛表演现场</w:t>
      </w:r>
    </w:p>
    <w:p w14:paraId="45971A0B">
      <w:pPr>
        <w:spacing w:line="360" w:lineRule="auto"/>
        <w:ind w:firstLine="420" w:firstLineChars="200"/>
        <w:jc w:val="center"/>
      </w:pPr>
      <w:r>
        <w:drawing>
          <wp:inline distT="0" distB="0" distL="114300" distR="114300">
            <wp:extent cx="4251325" cy="2224405"/>
            <wp:effectExtent l="0" t="0" r="3175" b="10795"/>
            <wp:docPr id="1" name="内容占位符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内容占位符 3"/>
                    <pic:cNvPicPr>
                      <a:picLocks noChangeAspect="1"/>
                    </pic:cNvPicPr>
                  </pic:nvPicPr>
                  <pic:blipFill>
                    <a:blip r:embed="rId15"/>
                    <a:stretch>
                      <a:fillRect/>
                    </a:stretch>
                  </pic:blipFill>
                  <pic:spPr>
                    <a:xfrm>
                      <a:off x="0" y="0"/>
                      <a:ext cx="4251325" cy="2224405"/>
                    </a:xfrm>
                    <a:prstGeom prst="rect">
                      <a:avLst/>
                    </a:prstGeom>
                  </pic:spPr>
                </pic:pic>
              </a:graphicData>
            </a:graphic>
          </wp:inline>
        </w:drawing>
      </w:r>
    </w:p>
    <w:p w14:paraId="3AB1AE3A">
      <w:pPr>
        <w:spacing w:line="360" w:lineRule="auto"/>
        <w:ind w:firstLine="420" w:firstLineChars="200"/>
        <w:jc w:val="center"/>
        <w:rPr>
          <w:rFonts w:hint="default" w:ascii="仿宋_GB2312" w:hAnsi="仿宋_GB2312" w:eastAsia="仿宋_GB2312" w:cs="仿宋_GB2312"/>
          <w:color w:val="000000" w:themeColor="text1"/>
          <w:sz w:val="21"/>
          <w:szCs w:val="21"/>
          <w:shd w:val="clear" w:color="auto" w:fill="FFFFFF"/>
          <w:lang w:val="en-US" w:eastAsia="zh-CN"/>
          <w14:textFill>
            <w14:solidFill>
              <w14:schemeClr w14:val="tx1"/>
            </w14:solidFill>
          </w14:textFill>
        </w:rPr>
      </w:pPr>
      <w:r>
        <w:rPr>
          <w:rFonts w:hint="eastAsia" w:ascii="仿宋_GB2312" w:hAnsi="仿宋_GB2312" w:eastAsia="仿宋_GB2312" w:cs="仿宋_GB2312"/>
          <w:color w:val="000000" w:themeColor="text1"/>
          <w:sz w:val="21"/>
          <w:szCs w:val="21"/>
          <w:shd w:val="clear" w:color="auto" w:fill="FFFFFF"/>
          <w:lang w:val="en-US" w:eastAsia="zh-CN"/>
          <w14:textFill>
            <w14:solidFill>
              <w14:schemeClr w14:val="tx1"/>
            </w14:solidFill>
          </w14:textFill>
        </w:rPr>
        <w:t>图10：首届“璀璨杯”舞蹈比赛</w:t>
      </w:r>
    </w:p>
    <w:p w14:paraId="5B083424">
      <w:pPr>
        <w:spacing w:line="360" w:lineRule="auto"/>
        <w:ind w:firstLine="480" w:firstLineChars="200"/>
        <w:rPr>
          <w:rFonts w:hint="eastAsia" w:ascii="宋体" w:hAnsi="宋体" w:cs="宋体"/>
          <w:sz w:val="24"/>
        </w:rPr>
      </w:pPr>
      <w:r>
        <w:rPr>
          <w:rFonts w:hint="eastAsia" w:ascii="仿宋_GB2312" w:hAnsi="仿宋_GB2312" w:eastAsia="仿宋_GB2312" w:cs="仿宋_GB2312"/>
          <w:color w:val="000000" w:themeColor="text1"/>
          <w:sz w:val="24"/>
          <w:szCs w:val="24"/>
          <w:shd w:val="clear" w:color="auto" w:fill="FFFFFF"/>
          <w:lang w:val="en-US" w:eastAsia="zh-CN"/>
          <w14:textFill>
            <w14:solidFill>
              <w14:schemeClr w14:val="tx1"/>
            </w14:solidFill>
          </w14:textFill>
        </w:rPr>
        <w:t>连续三年，舞蹈表演专业在苏州市公共文化中心大剧院举办教学成果汇报演出。演出以舞蹈传递青春正能量，每场吸引学校领导、师生代表与家长代表约400人现场观摩。其中，精彩演出以“百灵・秀舞动青春│强国有我”之名登上学习强国平台，收获广泛赞誉，有效提升了学校的社会影响力，展示了高博学生的良好形象</w:t>
      </w:r>
      <w:r>
        <w:rPr>
          <w:rFonts w:hint="eastAsia" w:ascii="仿宋_GB2312" w:hAnsi="仿宋_GB2312" w:eastAsia="仿宋_GB2312" w:cs="仿宋_GB2312"/>
          <w:color w:val="000000" w:themeColor="text1"/>
          <w:sz w:val="24"/>
          <w:szCs w:val="24"/>
          <w:shd w:val="clear" w:color="auto" w:fill="FFFFFF"/>
          <w:lang w:eastAsia="zh-CN"/>
          <w14:textFill>
            <w14:solidFill>
              <w14:schemeClr w14:val="tx1"/>
            </w14:solidFill>
          </w14:textFill>
        </w:rPr>
        <w:t>。</w:t>
      </w:r>
    </w:p>
    <w:p w14:paraId="688CE300">
      <w:pPr>
        <w:spacing w:line="360" w:lineRule="auto"/>
        <w:ind w:firstLine="420" w:firstLineChars="200"/>
        <w:jc w:val="center"/>
      </w:pPr>
      <w:r>
        <w:drawing>
          <wp:inline distT="0" distB="0" distL="114300" distR="114300">
            <wp:extent cx="4319905" cy="2351405"/>
            <wp:effectExtent l="0" t="0" r="10795" b="10795"/>
            <wp:docPr id="88" name="图片 88" descr="C:\Users\gb\AppData\Local\Temp\WeChat Files\77649916c23e5b456b9fb690429393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图片 88" descr="C:\Users\gb\AppData\Local\Temp\WeChat Files\77649916c23e5b456b9fb690429393c.jpg"/>
                    <pic:cNvPicPr>
                      <a:picLocks noChangeAspect="1" noChangeArrowheads="1"/>
                    </pic:cNvPicPr>
                  </pic:nvPicPr>
                  <pic:blipFill>
                    <a:blip r:embed="rId16" cstate="print"/>
                    <a:srcRect/>
                    <a:stretch>
                      <a:fillRect/>
                    </a:stretch>
                  </pic:blipFill>
                  <pic:spPr>
                    <a:xfrm>
                      <a:off x="0" y="0"/>
                      <a:ext cx="4319905" cy="2351405"/>
                    </a:xfrm>
                    <a:prstGeom prst="rect">
                      <a:avLst/>
                    </a:prstGeom>
                    <a:noFill/>
                    <a:ln w="9525">
                      <a:noFill/>
                      <a:miter lim="800000"/>
                      <a:headEnd/>
                      <a:tailEnd/>
                    </a:ln>
                  </pic:spPr>
                </pic:pic>
              </a:graphicData>
            </a:graphic>
          </wp:inline>
        </w:drawing>
      </w:r>
    </w:p>
    <w:p w14:paraId="112B9ED4">
      <w:pPr>
        <w:spacing w:line="360" w:lineRule="auto"/>
        <w:ind w:firstLine="420" w:firstLineChars="200"/>
        <w:jc w:val="center"/>
        <w:rPr>
          <w:rFonts w:hint="default" w:ascii="仿宋_GB2312" w:hAnsi="仿宋_GB2312" w:eastAsia="仿宋_GB2312" w:cs="仿宋_GB2312"/>
          <w:color w:val="000000" w:themeColor="text1"/>
          <w:sz w:val="21"/>
          <w:szCs w:val="21"/>
          <w:shd w:val="clear" w:color="auto" w:fill="FFFFFF"/>
          <w:lang w:val="en-US" w:eastAsia="zh-CN"/>
          <w14:textFill>
            <w14:solidFill>
              <w14:schemeClr w14:val="tx1"/>
            </w14:solidFill>
          </w14:textFill>
        </w:rPr>
      </w:pPr>
      <w:r>
        <w:rPr>
          <w:rFonts w:hint="eastAsia" w:ascii="仿宋_GB2312" w:hAnsi="仿宋_GB2312" w:eastAsia="仿宋_GB2312" w:cs="仿宋_GB2312"/>
          <w:color w:val="000000" w:themeColor="text1"/>
          <w:sz w:val="21"/>
          <w:szCs w:val="21"/>
          <w:shd w:val="clear" w:color="auto" w:fill="FFFFFF"/>
          <w:lang w:val="en-US" w:eastAsia="zh-CN"/>
          <w14:textFill>
            <w14:solidFill>
              <w14:schemeClr w14:val="tx1"/>
            </w14:solidFill>
          </w14:textFill>
        </w:rPr>
        <w:t>图11：2021年舞蹈表演专业教学成果汇报演出</w:t>
      </w:r>
    </w:p>
    <w:p w14:paraId="56F81C55">
      <w:pPr>
        <w:spacing w:line="360" w:lineRule="auto"/>
        <w:ind w:firstLine="420" w:firstLineChars="200"/>
        <w:jc w:val="center"/>
      </w:pPr>
      <w:r>
        <w:drawing>
          <wp:inline distT="0" distB="0" distL="114300" distR="114300">
            <wp:extent cx="4319905" cy="2572385"/>
            <wp:effectExtent l="0" t="0" r="10795" b="5715"/>
            <wp:docPr id="8"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5"/>
                    <pic:cNvPicPr>
                      <a:picLocks noChangeAspect="1"/>
                    </pic:cNvPicPr>
                  </pic:nvPicPr>
                  <pic:blipFill>
                    <a:blip r:embed="rId17"/>
                    <a:stretch>
                      <a:fillRect/>
                    </a:stretch>
                  </pic:blipFill>
                  <pic:spPr>
                    <a:xfrm>
                      <a:off x="0" y="0"/>
                      <a:ext cx="4319905" cy="2572385"/>
                    </a:xfrm>
                    <a:prstGeom prst="rect">
                      <a:avLst/>
                    </a:prstGeom>
                  </pic:spPr>
                </pic:pic>
              </a:graphicData>
            </a:graphic>
          </wp:inline>
        </w:drawing>
      </w:r>
    </w:p>
    <w:p w14:paraId="5B9C5B7F">
      <w:pPr>
        <w:spacing w:line="360" w:lineRule="auto"/>
        <w:ind w:firstLine="420" w:firstLineChars="200"/>
        <w:jc w:val="center"/>
        <w:rPr>
          <w:rFonts w:hint="default" w:ascii="仿宋_GB2312" w:hAnsi="仿宋_GB2312" w:eastAsia="仿宋_GB2312" w:cs="仿宋_GB2312"/>
          <w:color w:val="000000" w:themeColor="text1"/>
          <w:sz w:val="24"/>
          <w:szCs w:val="24"/>
          <w:shd w:val="clear" w:color="auto" w:fill="FFFFFF"/>
          <w:lang w:val="en-US" w:eastAsia="zh-CN"/>
          <w14:textFill>
            <w14:solidFill>
              <w14:schemeClr w14:val="tx1"/>
            </w14:solidFill>
          </w14:textFill>
        </w:rPr>
      </w:pPr>
      <w:r>
        <w:rPr>
          <w:rFonts w:hint="eastAsia" w:ascii="仿宋_GB2312" w:hAnsi="仿宋_GB2312" w:eastAsia="仿宋_GB2312" w:cs="仿宋_GB2312"/>
          <w:color w:val="000000" w:themeColor="text1"/>
          <w:sz w:val="21"/>
          <w:szCs w:val="21"/>
          <w:shd w:val="clear" w:color="auto" w:fill="FFFFFF"/>
          <w:lang w:val="en-US" w:eastAsia="zh-CN"/>
          <w14:textFill>
            <w14:solidFill>
              <w14:schemeClr w14:val="tx1"/>
            </w14:solidFill>
          </w14:textFill>
        </w:rPr>
        <w:t>图12：2022年舞蹈表演专业教学成果汇报演出</w:t>
      </w:r>
    </w:p>
    <w:p w14:paraId="7F172EE5">
      <w:pPr>
        <w:spacing w:line="360" w:lineRule="auto"/>
        <w:ind w:firstLine="420" w:firstLineChars="200"/>
        <w:jc w:val="center"/>
        <w:rPr>
          <w:rFonts w:hint="eastAsia" w:eastAsiaTheme="minorEastAsia"/>
          <w:lang w:eastAsia="zh-CN"/>
        </w:rPr>
      </w:pPr>
      <w:r>
        <w:rPr>
          <w:rFonts w:hint="eastAsia" w:eastAsiaTheme="minorEastAsia"/>
          <w:lang w:eastAsia="zh-CN"/>
        </w:rPr>
        <w:drawing>
          <wp:inline distT="0" distB="0" distL="114300" distR="114300">
            <wp:extent cx="4319905" cy="2545715"/>
            <wp:effectExtent l="0" t="0" r="10795" b="6985"/>
            <wp:docPr id="15" name="图片 15" descr="1734434355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descr="1734434355803"/>
                    <pic:cNvPicPr>
                      <a:picLocks noChangeAspect="1"/>
                    </pic:cNvPicPr>
                  </pic:nvPicPr>
                  <pic:blipFill>
                    <a:blip r:embed="rId18"/>
                    <a:stretch>
                      <a:fillRect/>
                    </a:stretch>
                  </pic:blipFill>
                  <pic:spPr>
                    <a:xfrm>
                      <a:off x="0" y="0"/>
                      <a:ext cx="4319905" cy="2545715"/>
                    </a:xfrm>
                    <a:prstGeom prst="rect">
                      <a:avLst/>
                    </a:prstGeom>
                  </pic:spPr>
                </pic:pic>
              </a:graphicData>
            </a:graphic>
          </wp:inline>
        </w:drawing>
      </w:r>
    </w:p>
    <w:p w14:paraId="0456875C">
      <w:pPr>
        <w:spacing w:line="360" w:lineRule="auto"/>
        <w:ind w:firstLine="420" w:firstLineChars="200"/>
        <w:jc w:val="center"/>
        <w:rPr>
          <w:rFonts w:hint="default" w:eastAsiaTheme="minorEastAsia"/>
          <w:lang w:val="en-US" w:eastAsia="zh-CN"/>
        </w:rPr>
      </w:pPr>
      <w:r>
        <w:rPr>
          <w:rFonts w:hint="eastAsia" w:ascii="仿宋_GB2312" w:hAnsi="仿宋_GB2312" w:eastAsia="仿宋_GB2312" w:cs="仿宋_GB2312"/>
          <w:color w:val="000000" w:themeColor="text1"/>
          <w:sz w:val="21"/>
          <w:szCs w:val="21"/>
          <w:shd w:val="clear" w:color="auto" w:fill="FFFFFF"/>
          <w:lang w:val="en-US" w:eastAsia="zh-CN"/>
          <w14:textFill>
            <w14:solidFill>
              <w14:schemeClr w14:val="tx1"/>
            </w14:solidFill>
          </w14:textFill>
        </w:rPr>
        <w:t>图13：2023年舞蹈表演专业教学成果汇报演出</w:t>
      </w:r>
    </w:p>
    <w:p w14:paraId="3E7CBB2B">
      <w:pPr>
        <w:spacing w:line="360" w:lineRule="auto"/>
        <w:ind w:firstLine="480" w:firstLineChars="200"/>
        <w:rPr>
          <w:rFonts w:hint="eastAsia" w:ascii="宋体" w:hAnsi="宋体" w:eastAsia="仿宋_GB2312" w:cs="宋体"/>
          <w:b w:val="0"/>
          <w:bCs w:val="0"/>
          <w:sz w:val="28"/>
          <w:szCs w:val="28"/>
          <w:lang w:val="en-US" w:eastAsia="zh-CN"/>
        </w:rPr>
      </w:pPr>
      <w:r>
        <w:rPr>
          <w:rFonts w:hint="eastAsia" w:ascii="仿宋_GB2312" w:hAnsi="仿宋_GB2312" w:eastAsia="仿宋_GB2312" w:cs="仿宋_GB2312"/>
          <w:b w:val="0"/>
          <w:bCs w:val="0"/>
          <w:color w:val="000000" w:themeColor="text1"/>
          <w:sz w:val="24"/>
          <w:szCs w:val="24"/>
          <w:shd w:val="clear" w:color="auto" w:fill="FFFFFF"/>
          <w14:textFill>
            <w14:solidFill>
              <w14:schemeClr w14:val="tx1"/>
            </w14:solidFill>
          </w14:textFill>
        </w:rPr>
        <w:t>在创新实践模式方面，舞蹈表演专业积极与苏州市公共文化中心合作，组织学生参与各类艺术活动。2022年11月，学生参与文化中心编创的群舞《迈进新时代》，参加由苏州市文化广电和旅游局举办的“舞出中国红”2022年市民广场舞大赛，荣获“十佳”团队称号。2023年6月，学生与苏州公共文化艺术中心、吴江区公共文化艺术中心合作，参与苏州市群众文化“繁星奖”“幸福江南舞起来”广场舞大赛，作品《追春》荣获金奖</w:t>
      </w:r>
      <w:r>
        <w:rPr>
          <w:rFonts w:hint="eastAsia" w:ascii="仿宋_GB2312" w:hAnsi="仿宋_GB2312" w:eastAsia="仿宋_GB2312" w:cs="仿宋_GB2312"/>
          <w:b w:val="0"/>
          <w:bCs w:val="0"/>
          <w:color w:val="000000" w:themeColor="text1"/>
          <w:sz w:val="24"/>
          <w:szCs w:val="24"/>
          <w:shd w:val="clear" w:color="auto" w:fill="FFFFFF"/>
          <w:lang w:val="en-US" w:eastAsia="zh-CN"/>
          <w14:textFill>
            <w14:solidFill>
              <w14:schemeClr w14:val="tx1"/>
            </w14:solidFill>
          </w14:textFill>
        </w:rPr>
        <w:t>。</w:t>
      </w:r>
    </w:p>
    <w:p w14:paraId="51BA7D68">
      <w:pPr>
        <w:spacing w:before="156" w:beforeLines="50"/>
        <w:ind w:firstLine="420" w:firstLineChars="200"/>
      </w:pPr>
      <w:r>
        <w:drawing>
          <wp:inline distT="0" distB="0" distL="114300" distR="114300">
            <wp:extent cx="3101340" cy="1795145"/>
            <wp:effectExtent l="0" t="0" r="10160" b="8255"/>
            <wp:docPr id="2"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5"/>
                    <pic:cNvPicPr>
                      <a:picLocks noChangeAspect="1"/>
                    </pic:cNvPicPr>
                  </pic:nvPicPr>
                  <pic:blipFill>
                    <a:blip r:embed="rId19"/>
                    <a:srcRect b="8500"/>
                    <a:stretch>
                      <a:fillRect/>
                    </a:stretch>
                  </pic:blipFill>
                  <pic:spPr>
                    <a:xfrm>
                      <a:off x="0" y="0"/>
                      <a:ext cx="3101340" cy="1795145"/>
                    </a:xfrm>
                    <a:prstGeom prst="roundRect">
                      <a:avLst/>
                    </a:prstGeom>
                  </pic:spPr>
                </pic:pic>
              </a:graphicData>
            </a:graphic>
          </wp:inline>
        </w:drawing>
      </w:r>
      <w:r>
        <w:drawing>
          <wp:inline distT="0" distB="0" distL="114300" distR="114300">
            <wp:extent cx="2065655" cy="1627505"/>
            <wp:effectExtent l="0" t="0" r="4445" b="10795"/>
            <wp:docPr id="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pic:cNvPicPr>
                      <a:picLocks noChangeAspect="1"/>
                    </pic:cNvPicPr>
                  </pic:nvPicPr>
                  <pic:blipFill>
                    <a:blip r:embed="rId20"/>
                    <a:srcRect l="7071" r="2670" b="3865"/>
                    <a:stretch>
                      <a:fillRect/>
                    </a:stretch>
                  </pic:blipFill>
                  <pic:spPr>
                    <a:xfrm>
                      <a:off x="0" y="0"/>
                      <a:ext cx="2065655" cy="1627505"/>
                    </a:xfrm>
                    <a:prstGeom prst="rect">
                      <a:avLst/>
                    </a:prstGeom>
                  </pic:spPr>
                </pic:pic>
              </a:graphicData>
            </a:graphic>
          </wp:inline>
        </w:drawing>
      </w:r>
    </w:p>
    <w:p w14:paraId="69561B2E">
      <w:pPr>
        <w:spacing w:line="360" w:lineRule="auto"/>
        <w:ind w:firstLine="420" w:firstLineChars="200"/>
        <w:jc w:val="center"/>
        <w:rPr>
          <w:rFonts w:hint="default" w:ascii="宋体" w:hAnsi="宋体" w:eastAsia="宋体" w:cs="宋体"/>
          <w:sz w:val="28"/>
          <w:szCs w:val="28"/>
          <w:lang w:val="en-US" w:eastAsia="zh-CN"/>
        </w:rPr>
      </w:pPr>
      <w:r>
        <w:rPr>
          <w:rFonts w:hint="eastAsia" w:ascii="仿宋_GB2312" w:hAnsi="仿宋_GB2312" w:eastAsia="仿宋_GB2312" w:cs="仿宋_GB2312"/>
          <w:color w:val="000000" w:themeColor="text1"/>
          <w:sz w:val="21"/>
          <w:szCs w:val="21"/>
          <w:shd w:val="clear" w:color="auto" w:fill="FFFFFF"/>
          <w:lang w:val="en-US" w:eastAsia="zh-CN"/>
          <w14:textFill>
            <w14:solidFill>
              <w14:schemeClr w14:val="tx1"/>
            </w14:solidFill>
          </w14:textFill>
        </w:rPr>
        <w:t>图14：全民艺术提升季“舞出中国红”2022苏州市民广场舞大赛《迈进新时代》</w:t>
      </w:r>
    </w:p>
    <w:p w14:paraId="1DEA7DE2">
      <w:pPr>
        <w:spacing w:before="156" w:beforeLines="50"/>
        <w:ind w:firstLine="420" w:firstLineChars="200"/>
        <w:rPr>
          <w:rFonts w:hint="eastAsia" w:ascii="宋体" w:hAnsi="宋体" w:eastAsia="宋体" w:cs="宋体"/>
          <w:sz w:val="28"/>
          <w:szCs w:val="28"/>
          <w:lang w:val="en-US" w:eastAsia="zh-CN"/>
        </w:rPr>
      </w:pPr>
      <w:r>
        <w:drawing>
          <wp:inline distT="0" distB="0" distL="114300" distR="114300">
            <wp:extent cx="2545715" cy="1488440"/>
            <wp:effectExtent l="0" t="0" r="6985" b="10160"/>
            <wp:docPr id="3" name="图片 2" descr="9179fbcf13a5aeee267f747103a37a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descr="9179fbcf13a5aeee267f747103a37af"/>
                    <pic:cNvPicPr>
                      <a:picLocks noChangeAspect="1"/>
                    </pic:cNvPicPr>
                  </pic:nvPicPr>
                  <pic:blipFill>
                    <a:blip r:embed="rId21"/>
                    <a:srcRect l="7572" r="1618" b="-984"/>
                    <a:stretch>
                      <a:fillRect/>
                    </a:stretch>
                  </pic:blipFill>
                  <pic:spPr>
                    <a:xfrm>
                      <a:off x="0" y="0"/>
                      <a:ext cx="2545715" cy="1488440"/>
                    </a:xfrm>
                    <a:prstGeom prst="roundRect">
                      <a:avLst/>
                    </a:prstGeom>
                  </pic:spPr>
                </pic:pic>
              </a:graphicData>
            </a:graphic>
          </wp:inline>
        </w:drawing>
      </w:r>
      <w:r>
        <w:drawing>
          <wp:inline distT="0" distB="0" distL="114300" distR="114300">
            <wp:extent cx="2383790" cy="1391285"/>
            <wp:effectExtent l="0" t="0" r="3810" b="5715"/>
            <wp:docPr id="7"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3"/>
                    <pic:cNvPicPr>
                      <a:picLocks noChangeAspect="1"/>
                    </pic:cNvPicPr>
                  </pic:nvPicPr>
                  <pic:blipFill>
                    <a:blip r:embed="rId22"/>
                    <a:stretch>
                      <a:fillRect/>
                    </a:stretch>
                  </pic:blipFill>
                  <pic:spPr>
                    <a:xfrm>
                      <a:off x="0" y="0"/>
                      <a:ext cx="2383790" cy="1391285"/>
                    </a:xfrm>
                    <a:prstGeom prst="rect">
                      <a:avLst/>
                    </a:prstGeom>
                  </pic:spPr>
                </pic:pic>
              </a:graphicData>
            </a:graphic>
          </wp:inline>
        </w:drawing>
      </w:r>
    </w:p>
    <w:p w14:paraId="6E2C3E02">
      <w:pPr>
        <w:spacing w:line="360" w:lineRule="auto"/>
        <w:ind w:firstLine="420" w:firstLineChars="200"/>
        <w:jc w:val="center"/>
        <w:rPr>
          <w:rFonts w:hint="default" w:ascii="仿宋_GB2312" w:hAnsi="仿宋_GB2312" w:eastAsia="仿宋_GB2312" w:cs="仿宋_GB2312"/>
          <w:color w:val="000000" w:themeColor="text1"/>
          <w:sz w:val="24"/>
          <w:szCs w:val="24"/>
          <w:shd w:val="clear" w:color="auto" w:fill="FFFFFF"/>
          <w:lang w:val="en-US" w:eastAsia="zh-CN"/>
          <w14:textFill>
            <w14:solidFill>
              <w14:schemeClr w14:val="tx1"/>
            </w14:solidFill>
          </w14:textFill>
        </w:rPr>
      </w:pPr>
      <w:r>
        <w:rPr>
          <w:rFonts w:hint="eastAsia" w:ascii="仿宋_GB2312" w:hAnsi="仿宋_GB2312" w:eastAsia="仿宋_GB2312" w:cs="仿宋_GB2312"/>
          <w:color w:val="000000" w:themeColor="text1"/>
          <w:sz w:val="21"/>
          <w:szCs w:val="21"/>
          <w:shd w:val="clear" w:color="auto" w:fill="FFFFFF"/>
          <w:lang w:val="en-US" w:eastAsia="zh-CN"/>
          <w14:textFill>
            <w14:solidFill>
              <w14:schemeClr w14:val="tx1"/>
            </w14:solidFill>
          </w14:textFill>
        </w:rPr>
        <w:t>图15：2023年第五届苏州市群众文化“繁星奖”“幸福江南舞起来”广场舞大赛</w:t>
      </w:r>
    </w:p>
    <w:p w14:paraId="14089809">
      <w:pPr>
        <w:spacing w:line="360" w:lineRule="auto"/>
        <w:ind w:firstLine="480" w:firstLineChars="200"/>
        <w:rPr>
          <w:rFonts w:hint="eastAsia" w:ascii="仿宋_GB2312" w:hAnsi="仿宋_GB2312" w:eastAsia="仿宋_GB2312" w:cs="仿宋_GB2312"/>
          <w:color w:val="000000" w:themeColor="text1"/>
          <w:sz w:val="24"/>
          <w:szCs w:val="24"/>
          <w:shd w:val="clear" w:color="auto" w:fill="FFFFFF"/>
          <w14:textFill>
            <w14:solidFill>
              <w14:schemeClr w14:val="tx1"/>
            </w14:solidFill>
          </w14:textFill>
        </w:rPr>
      </w:pPr>
      <w:r>
        <w:rPr>
          <w:rFonts w:hint="eastAsia" w:ascii="仿宋_GB2312" w:hAnsi="仿宋_GB2312" w:eastAsia="仿宋_GB2312" w:cs="仿宋_GB2312"/>
          <w:color w:val="000000" w:themeColor="text1"/>
          <w:sz w:val="24"/>
          <w:szCs w:val="24"/>
          <w:shd w:val="clear" w:color="auto" w:fill="FFFFFF"/>
          <w:lang w:val="en-US" w:eastAsia="zh-CN"/>
          <w14:textFill>
            <w14:solidFill>
              <w14:schemeClr w14:val="tx1"/>
            </w14:solidFill>
          </w14:textFill>
        </w:rPr>
        <w:t>此外，专业积极组织学生参加北京舞蹈学院中国舞教师资格证1-3级考试和中国职业教育协会芭蕾舞教师资格证1-2级考试，考证通过率达100%，有效提升了学生的教学能力和就业竞争力</w:t>
      </w:r>
      <w:r>
        <w:rPr>
          <w:rFonts w:hint="eastAsia" w:ascii="仿宋_GB2312" w:hAnsi="仿宋_GB2312" w:eastAsia="仿宋_GB2312" w:cs="仿宋_GB2312"/>
          <w:color w:val="000000" w:themeColor="text1"/>
          <w:sz w:val="24"/>
          <w:szCs w:val="24"/>
          <w:shd w:val="clear" w:color="auto" w:fill="FFFFFF"/>
          <w14:textFill>
            <w14:solidFill>
              <w14:schemeClr w14:val="tx1"/>
            </w14:solidFill>
          </w14:textFill>
        </w:rPr>
        <w:t>。</w:t>
      </w:r>
    </w:p>
    <w:p w14:paraId="4421C2AA">
      <w:pPr>
        <w:spacing w:line="360" w:lineRule="auto"/>
      </w:pPr>
      <w:r>
        <w:drawing>
          <wp:inline distT="0" distB="0" distL="114300" distR="114300">
            <wp:extent cx="2562860" cy="1569720"/>
            <wp:effectExtent l="0" t="0" r="2540" b="5080"/>
            <wp:docPr id="12" name="图片 4" descr="ce0b09521c866396b71a1af7f010c6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4" descr="ce0b09521c866396b71a1af7f010c6a"/>
                    <pic:cNvPicPr>
                      <a:picLocks noChangeAspect="1"/>
                    </pic:cNvPicPr>
                  </pic:nvPicPr>
                  <pic:blipFill>
                    <a:blip r:embed="rId23"/>
                    <a:srcRect l="1042" r="5181"/>
                    <a:stretch>
                      <a:fillRect/>
                    </a:stretch>
                  </pic:blipFill>
                  <pic:spPr>
                    <a:xfrm>
                      <a:off x="0" y="0"/>
                      <a:ext cx="2562860" cy="1569720"/>
                    </a:xfrm>
                    <a:prstGeom prst="roundRect">
                      <a:avLst/>
                    </a:prstGeom>
                  </pic:spPr>
                </pic:pic>
              </a:graphicData>
            </a:graphic>
          </wp:inline>
        </w:drawing>
      </w:r>
      <w:r>
        <w:drawing>
          <wp:inline distT="0" distB="0" distL="114300" distR="114300">
            <wp:extent cx="2549525" cy="1543050"/>
            <wp:effectExtent l="0" t="0" r="3175" b="6350"/>
            <wp:docPr id="13" name="图片 4" descr="eb496b57ef75cd62d5e02029f6a5e8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4" descr="eb496b57ef75cd62d5e02029f6a5e8b"/>
                    <pic:cNvPicPr>
                      <a:picLocks noChangeAspect="1"/>
                    </pic:cNvPicPr>
                  </pic:nvPicPr>
                  <pic:blipFill>
                    <a:blip r:embed="rId24"/>
                    <a:stretch>
                      <a:fillRect/>
                    </a:stretch>
                  </pic:blipFill>
                  <pic:spPr>
                    <a:xfrm>
                      <a:off x="0" y="0"/>
                      <a:ext cx="2549525" cy="1543050"/>
                    </a:xfrm>
                    <a:prstGeom prst="roundRect">
                      <a:avLst/>
                    </a:prstGeom>
                  </pic:spPr>
                </pic:pic>
              </a:graphicData>
            </a:graphic>
          </wp:inline>
        </w:drawing>
      </w:r>
    </w:p>
    <w:p w14:paraId="56E2BEE3">
      <w:pPr>
        <w:spacing w:line="360" w:lineRule="auto"/>
        <w:ind w:firstLine="420" w:firstLineChars="200"/>
        <w:jc w:val="center"/>
        <w:rPr>
          <w:rFonts w:hint="eastAsia" w:ascii="仿宋_GB2312" w:hAnsi="仿宋_GB2312" w:eastAsia="仿宋_GB2312" w:cs="仿宋_GB2312"/>
          <w:color w:val="000000" w:themeColor="text1"/>
          <w:sz w:val="21"/>
          <w:szCs w:val="21"/>
          <w:shd w:val="clear" w:color="auto" w:fill="FFFFFF"/>
          <w:lang w:val="en-US" w:eastAsia="zh-CN"/>
          <w14:textFill>
            <w14:solidFill>
              <w14:schemeClr w14:val="tx1"/>
            </w14:solidFill>
          </w14:textFill>
        </w:rPr>
      </w:pPr>
      <w:r>
        <w:rPr>
          <w:rFonts w:hint="eastAsia" w:ascii="仿宋_GB2312" w:hAnsi="仿宋_GB2312" w:eastAsia="仿宋_GB2312" w:cs="仿宋_GB2312"/>
          <w:color w:val="000000" w:themeColor="text1"/>
          <w:sz w:val="21"/>
          <w:szCs w:val="21"/>
          <w:shd w:val="clear" w:color="auto" w:fill="FFFFFF"/>
          <w:lang w:val="en-US" w:eastAsia="zh-CN"/>
          <w14:textFill>
            <w14:solidFill>
              <w14:schemeClr w14:val="tx1"/>
            </w14:solidFill>
          </w14:textFill>
        </w:rPr>
        <w:t>图16北京舞蹈学院中国舞教师资格证考试</w:t>
      </w:r>
    </w:p>
    <w:p w14:paraId="629E77A9">
      <w:pPr>
        <w:spacing w:line="360" w:lineRule="auto"/>
        <w:rPr>
          <w:rFonts w:hint="eastAsia" w:ascii="仿宋_GB2312" w:hAnsi="仿宋_GB2312" w:eastAsia="仿宋_GB2312" w:cs="仿宋_GB2312"/>
          <w:color w:val="000000" w:themeColor="text1"/>
          <w:sz w:val="24"/>
          <w:szCs w:val="24"/>
          <w:shd w:val="clear" w:color="auto" w:fill="FFFFFF"/>
          <w:lang w:eastAsia="zh-CN"/>
          <w14:textFill>
            <w14:solidFill>
              <w14:schemeClr w14:val="tx1"/>
            </w14:solidFill>
          </w14:textFill>
        </w:rPr>
      </w:pPr>
    </w:p>
    <w:p w14:paraId="13090788">
      <w:pPr>
        <w:spacing w:before="156" w:beforeLines="50" w:after="156" w:afterLines="50" w:line="360" w:lineRule="auto"/>
        <w:ind w:firstLine="562" w:firstLineChars="200"/>
        <w:rPr>
          <w:rFonts w:hint="eastAsia" w:ascii="黑体" w:hAnsi="黑体" w:eastAsia="黑体" w:cs="黑体"/>
          <w:b/>
          <w:color w:val="000000" w:themeColor="text1"/>
          <w:sz w:val="28"/>
          <w:szCs w:val="28"/>
          <w14:textFill>
            <w14:solidFill>
              <w14:schemeClr w14:val="tx1"/>
            </w14:solidFill>
          </w14:textFill>
        </w:rPr>
      </w:pPr>
      <w:r>
        <w:rPr>
          <w:rFonts w:hint="eastAsia" w:ascii="黑体" w:hAnsi="黑体" w:eastAsia="黑体" w:cs="黑体"/>
          <w:b/>
          <w:color w:val="000000" w:themeColor="text1"/>
          <w:sz w:val="28"/>
          <w:szCs w:val="28"/>
          <w:lang w:val="en-US" w:eastAsia="zh-CN"/>
          <w14:textFill>
            <w14:solidFill>
              <w14:schemeClr w14:val="tx1"/>
            </w14:solidFill>
          </w14:textFill>
        </w:rPr>
        <w:t>五</w:t>
      </w:r>
      <w:r>
        <w:rPr>
          <w:rFonts w:hint="eastAsia" w:ascii="黑体" w:hAnsi="黑体" w:eastAsia="黑体" w:cs="黑体"/>
          <w:b/>
          <w:color w:val="000000" w:themeColor="text1"/>
          <w:sz w:val="28"/>
          <w:szCs w:val="28"/>
          <w14:textFill>
            <w14:solidFill>
              <w14:schemeClr w14:val="tx1"/>
            </w14:solidFill>
          </w14:textFill>
        </w:rPr>
        <w:t>、助力合作院校随企出海等方面的做法、成效和问题</w:t>
      </w:r>
    </w:p>
    <w:p w14:paraId="596CCA6E">
      <w:pPr>
        <w:spacing w:line="360" w:lineRule="auto"/>
        <w:ind w:firstLine="480" w:firstLineChars="200"/>
        <w:rPr>
          <w:rFonts w:hint="eastAsia" w:ascii="仿宋_GB2312" w:hAnsi="仿宋_GB2312" w:eastAsia="仿宋_GB2312" w:cs="仿宋_GB2312"/>
          <w:color w:val="000000" w:themeColor="text1"/>
          <w:sz w:val="24"/>
          <w:szCs w:val="24"/>
          <w:shd w:val="clear" w:color="auto" w:fill="FFFFFF"/>
          <w:lang w:val="en-US" w:eastAsia="zh-CN"/>
          <w14:textFill>
            <w14:solidFill>
              <w14:schemeClr w14:val="tx1"/>
            </w14:solidFill>
          </w14:textFill>
        </w:rPr>
      </w:pPr>
      <w:r>
        <w:rPr>
          <w:rFonts w:hint="eastAsia" w:ascii="仿宋_GB2312" w:hAnsi="仿宋_GB2312" w:eastAsia="仿宋_GB2312" w:cs="仿宋_GB2312"/>
          <w:color w:val="000000" w:themeColor="text1"/>
          <w:sz w:val="24"/>
          <w:szCs w:val="24"/>
          <w:shd w:val="clear" w:color="auto" w:fill="FFFFFF"/>
          <w:lang w:val="en-US" w:eastAsia="zh-CN"/>
          <w14:textFill>
            <w14:solidFill>
              <w14:schemeClr w14:val="tx1"/>
            </w14:solidFill>
          </w14:textFill>
        </w:rPr>
        <w:t>随着文化产业的国际化发展趋势，未来双方计划共同探索相关路径。例如，借助国内外文化交流活动的平台，组织学生参与国际文化艺术交流项目，展示中国传统舞蹈艺术魅力，拓宽学生的国际视野；探索与国外艺术院校、文化机构开展合作交流，引进国外先进的舞蹈教育理念和教学资源，提升舞蹈表演专业的国际化水平。</w:t>
      </w:r>
    </w:p>
    <w:p w14:paraId="5DD348E8">
      <w:pPr>
        <w:spacing w:line="360" w:lineRule="auto"/>
        <w:ind w:firstLine="480" w:firstLineChars="200"/>
        <w:rPr>
          <w:rFonts w:hint="eastAsia" w:ascii="仿宋_GB2312" w:hAnsi="仿宋_GB2312" w:eastAsia="仿宋_GB2312" w:cs="仿宋_GB2312"/>
          <w:color w:val="000000" w:themeColor="text1"/>
          <w:sz w:val="24"/>
          <w:szCs w:val="24"/>
          <w:shd w:val="clear" w:color="auto" w:fill="FFFFFF"/>
          <w:lang w:val="en-US" w:eastAsia="zh-CN"/>
          <w14:textFill>
            <w14:solidFill>
              <w14:schemeClr w14:val="tx1"/>
            </w14:solidFill>
          </w14:textFill>
        </w:rPr>
      </w:pPr>
      <w:r>
        <w:rPr>
          <w:rFonts w:hint="eastAsia" w:ascii="仿宋_GB2312" w:hAnsi="仿宋_GB2312" w:eastAsia="仿宋_GB2312" w:cs="仿宋_GB2312"/>
          <w:color w:val="000000" w:themeColor="text1"/>
          <w:sz w:val="24"/>
          <w:szCs w:val="24"/>
          <w:shd w:val="clear" w:color="auto" w:fill="FFFFFF"/>
          <w:lang w:val="en-US" w:eastAsia="zh-CN"/>
          <w14:textFill>
            <w14:solidFill>
              <w14:schemeClr w14:val="tx1"/>
            </w14:solidFill>
          </w14:textFill>
        </w:rPr>
        <w:t>然而，在推进过程中可能面临一些问题。一方面，国际文化交流活动的参与机会有限，且对学生的综合素质要求较高，需要加强学生在语言能力、文化理解能力等方面的培养；另一方面，与国外机构合作涉及文化差异、政策法规等复杂问题，需要深入研究和协调，确保合作的顺利开展。针对这些潜在问题，双方将提前规划，加强沟通与协作，共同寻求解决方案，推动合作院校随企出海相关工作的有序进行。</w:t>
      </w:r>
    </w:p>
    <w:sectPr>
      <w:pgSz w:w="11906" w:h="16838"/>
      <w:pgMar w:top="1417" w:right="1474" w:bottom="1417" w:left="1588"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Calibri Light">
    <w:panose1 w:val="020F0302020204030204"/>
    <w:charset w:val="00"/>
    <w:family w:val="swiss"/>
    <w:pitch w:val="default"/>
    <w:sig w:usb0="E4002EFF" w:usb1="C200247B" w:usb2="00000009" w:usb3="00000000" w:csb0="200001FF" w:csb1="00000000"/>
  </w:font>
  <w:font w:name="微软雅黑">
    <w:panose1 w:val="020B0503020204020204"/>
    <w:charset w:val="86"/>
    <w:family w:val="swiss"/>
    <w:pitch w:val="default"/>
    <w:sig w:usb0="80000287" w:usb1="2ACF3C50" w:usb2="00000016" w:usb3="00000000" w:csb0="0004001F" w:csb1="00000000"/>
  </w:font>
  <w:font w:name="仿宋_GB2312">
    <w:panose1 w:val="02010609030101010101"/>
    <w:charset w:val="86"/>
    <w:family w:val="modern"/>
    <w:pitch w:val="default"/>
    <w:sig w:usb0="00000001" w:usb1="080E0000" w:usb2="00000000" w:usb3="00000000" w:csb0="00040000" w:csb1="00000000"/>
  </w:font>
  <w:font w:name="MS PGothic">
    <w:panose1 w:val="020B0600070205080204"/>
    <w:charset w:val="80"/>
    <w:family w:val="auto"/>
    <w:pitch w:val="default"/>
    <w:sig w:usb0="E00002FF" w:usb1="6AC7FDFB" w:usb2="08000012" w:usb3="00000000" w:csb0="4002009F" w:csb1="DFD7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4C5F1171"/>
    <w:multiLevelType w:val="singleLevel"/>
    <w:tmpl w:val="4C5F1171"/>
    <w:lvl w:ilvl="0" w:tentative="0">
      <w:start w:val="3"/>
      <w:numFmt w:val="chineseCounting"/>
      <w:suff w:val="nothing"/>
      <w:lvlText w:val="（%1）"/>
      <w:lvlJc w:val="left"/>
      <w:rPr>
        <w:rFonts w:hint="eastAsia"/>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20"/>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NGQxZmM0MDdhMTE3ODhmNDU1N2Q1NjM4YjM3MTExOTIifQ=="/>
  </w:docVars>
  <w:rsids>
    <w:rsidRoot w:val="00242850"/>
    <w:rsid w:val="00013C20"/>
    <w:rsid w:val="00016E8B"/>
    <w:rsid w:val="000222E3"/>
    <w:rsid w:val="00044F40"/>
    <w:rsid w:val="0005266D"/>
    <w:rsid w:val="000552E1"/>
    <w:rsid w:val="00063631"/>
    <w:rsid w:val="00064A8E"/>
    <w:rsid w:val="0007431C"/>
    <w:rsid w:val="000768CA"/>
    <w:rsid w:val="00091D2B"/>
    <w:rsid w:val="000A2C0A"/>
    <w:rsid w:val="000A5A80"/>
    <w:rsid w:val="000B25A1"/>
    <w:rsid w:val="000B7A06"/>
    <w:rsid w:val="000D61CE"/>
    <w:rsid w:val="000E1772"/>
    <w:rsid w:val="000F2203"/>
    <w:rsid w:val="000F4D85"/>
    <w:rsid w:val="000F4D89"/>
    <w:rsid w:val="00137C82"/>
    <w:rsid w:val="00157458"/>
    <w:rsid w:val="001756FB"/>
    <w:rsid w:val="001757DF"/>
    <w:rsid w:val="001A218C"/>
    <w:rsid w:val="001B5E44"/>
    <w:rsid w:val="001B76F7"/>
    <w:rsid w:val="001C4089"/>
    <w:rsid w:val="001D7013"/>
    <w:rsid w:val="00201BFE"/>
    <w:rsid w:val="00220F2C"/>
    <w:rsid w:val="00242850"/>
    <w:rsid w:val="002923B5"/>
    <w:rsid w:val="002C47E0"/>
    <w:rsid w:val="002C74B8"/>
    <w:rsid w:val="002D63D2"/>
    <w:rsid w:val="002F75D0"/>
    <w:rsid w:val="00305EB3"/>
    <w:rsid w:val="00316523"/>
    <w:rsid w:val="00336E11"/>
    <w:rsid w:val="00347997"/>
    <w:rsid w:val="00355F93"/>
    <w:rsid w:val="00375927"/>
    <w:rsid w:val="00383080"/>
    <w:rsid w:val="00390472"/>
    <w:rsid w:val="003D1BB2"/>
    <w:rsid w:val="003E2B00"/>
    <w:rsid w:val="00410C33"/>
    <w:rsid w:val="00410FAA"/>
    <w:rsid w:val="0041107A"/>
    <w:rsid w:val="0043641C"/>
    <w:rsid w:val="00451E29"/>
    <w:rsid w:val="004B0E88"/>
    <w:rsid w:val="004C2C69"/>
    <w:rsid w:val="004D2CC2"/>
    <w:rsid w:val="004F01B1"/>
    <w:rsid w:val="004F35F6"/>
    <w:rsid w:val="00536D2A"/>
    <w:rsid w:val="00563469"/>
    <w:rsid w:val="00574DE5"/>
    <w:rsid w:val="00587980"/>
    <w:rsid w:val="005A1D54"/>
    <w:rsid w:val="005A72C0"/>
    <w:rsid w:val="005B11B1"/>
    <w:rsid w:val="005B17C1"/>
    <w:rsid w:val="005B2EB9"/>
    <w:rsid w:val="005B5D83"/>
    <w:rsid w:val="005D259D"/>
    <w:rsid w:val="005E574A"/>
    <w:rsid w:val="005E6A8C"/>
    <w:rsid w:val="00634B60"/>
    <w:rsid w:val="00656C2D"/>
    <w:rsid w:val="0066323F"/>
    <w:rsid w:val="0067160A"/>
    <w:rsid w:val="0068616D"/>
    <w:rsid w:val="00694938"/>
    <w:rsid w:val="00695974"/>
    <w:rsid w:val="006968C2"/>
    <w:rsid w:val="006F6D08"/>
    <w:rsid w:val="00747222"/>
    <w:rsid w:val="00752B0F"/>
    <w:rsid w:val="00777227"/>
    <w:rsid w:val="007A25F5"/>
    <w:rsid w:val="007B69AC"/>
    <w:rsid w:val="00811859"/>
    <w:rsid w:val="00823DBE"/>
    <w:rsid w:val="00836B03"/>
    <w:rsid w:val="0085301A"/>
    <w:rsid w:val="00861861"/>
    <w:rsid w:val="00875F18"/>
    <w:rsid w:val="008A348A"/>
    <w:rsid w:val="008B3B30"/>
    <w:rsid w:val="008D10CE"/>
    <w:rsid w:val="008E5A99"/>
    <w:rsid w:val="00913F7F"/>
    <w:rsid w:val="00917E98"/>
    <w:rsid w:val="00942AAC"/>
    <w:rsid w:val="00965FCF"/>
    <w:rsid w:val="00971231"/>
    <w:rsid w:val="009B4C18"/>
    <w:rsid w:val="009C61FD"/>
    <w:rsid w:val="009D0A9A"/>
    <w:rsid w:val="009D646E"/>
    <w:rsid w:val="00A258E9"/>
    <w:rsid w:val="00A3017F"/>
    <w:rsid w:val="00A34BCA"/>
    <w:rsid w:val="00A44CB6"/>
    <w:rsid w:val="00A64981"/>
    <w:rsid w:val="00A76CFF"/>
    <w:rsid w:val="00AC4F30"/>
    <w:rsid w:val="00B054D5"/>
    <w:rsid w:val="00B240B1"/>
    <w:rsid w:val="00B65F37"/>
    <w:rsid w:val="00B74801"/>
    <w:rsid w:val="00B872F7"/>
    <w:rsid w:val="00BA038B"/>
    <w:rsid w:val="00BA45A9"/>
    <w:rsid w:val="00BA4963"/>
    <w:rsid w:val="00BC0793"/>
    <w:rsid w:val="00BD0C1D"/>
    <w:rsid w:val="00BD6F3D"/>
    <w:rsid w:val="00BF3051"/>
    <w:rsid w:val="00BF782D"/>
    <w:rsid w:val="00C37286"/>
    <w:rsid w:val="00C444E0"/>
    <w:rsid w:val="00C52036"/>
    <w:rsid w:val="00C62601"/>
    <w:rsid w:val="00C828AA"/>
    <w:rsid w:val="00CA5BF9"/>
    <w:rsid w:val="00CB0971"/>
    <w:rsid w:val="00CC0B02"/>
    <w:rsid w:val="00CD63DE"/>
    <w:rsid w:val="00D063F1"/>
    <w:rsid w:val="00D11AC6"/>
    <w:rsid w:val="00D30E9F"/>
    <w:rsid w:val="00D3456A"/>
    <w:rsid w:val="00D5044B"/>
    <w:rsid w:val="00D62CA5"/>
    <w:rsid w:val="00D92A62"/>
    <w:rsid w:val="00DA351A"/>
    <w:rsid w:val="00DD0DE8"/>
    <w:rsid w:val="00DE6D24"/>
    <w:rsid w:val="00DF6AE9"/>
    <w:rsid w:val="00E22D4B"/>
    <w:rsid w:val="00E30CE3"/>
    <w:rsid w:val="00E30D55"/>
    <w:rsid w:val="00E500C4"/>
    <w:rsid w:val="00E538F0"/>
    <w:rsid w:val="00E5399A"/>
    <w:rsid w:val="00E704A1"/>
    <w:rsid w:val="00E82458"/>
    <w:rsid w:val="00E915C2"/>
    <w:rsid w:val="00EA45D9"/>
    <w:rsid w:val="00EA4D6F"/>
    <w:rsid w:val="00EC4F94"/>
    <w:rsid w:val="00ED2959"/>
    <w:rsid w:val="00F157E8"/>
    <w:rsid w:val="00F4297E"/>
    <w:rsid w:val="00F45B4D"/>
    <w:rsid w:val="00F52075"/>
    <w:rsid w:val="00F74DDB"/>
    <w:rsid w:val="00F75C57"/>
    <w:rsid w:val="00F81A34"/>
    <w:rsid w:val="00FC4CD9"/>
    <w:rsid w:val="00FF1889"/>
    <w:rsid w:val="061F6226"/>
    <w:rsid w:val="07FC2703"/>
    <w:rsid w:val="09253F4C"/>
    <w:rsid w:val="119D20F1"/>
    <w:rsid w:val="1278264B"/>
    <w:rsid w:val="291D0ED5"/>
    <w:rsid w:val="35F71710"/>
    <w:rsid w:val="475D3D3E"/>
    <w:rsid w:val="4B344DF0"/>
    <w:rsid w:val="4B7F4324"/>
    <w:rsid w:val="50C95FE6"/>
    <w:rsid w:val="5605389B"/>
    <w:rsid w:val="5DFF0206"/>
    <w:rsid w:val="5EF17937"/>
    <w:rsid w:val="5F802553"/>
    <w:rsid w:val="73AD56A3"/>
    <w:rsid w:val="76842769"/>
    <w:rsid w:val="CEF9C478"/>
    <w:rsid w:val="E7DFDBC7"/>
    <w:rsid w:val="FDF319C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iPriority="2" w:semiHidden="0" w:name="Title"/>
    <w:lsdException w:uiPriority="99" w:name="Closing"/>
    <w:lsdException w:uiPriority="99" w:name="Signature"/>
    <w:lsdException w:qFormat="1" w:uiPriority="1" w:semiHidden="0"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iPriority="3"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semiHidden="0"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qFormat="1" w:unhideWhenUsed="0" w:uiPriority="0"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2"/>
      <w:lang w:val="en-US" w:eastAsia="zh-CN" w:bidi="ar-SA"/>
    </w:rPr>
  </w:style>
  <w:style w:type="character" w:default="1" w:styleId="9">
    <w:name w:val="Default Paragraph Font"/>
    <w:unhideWhenUsed/>
    <w:qFormat/>
    <w:uiPriority w:val="1"/>
  </w:style>
  <w:style w:type="table" w:default="1" w:styleId="8">
    <w:name w:val="Normal Table"/>
    <w:semiHidden/>
    <w:unhideWhenUsed/>
    <w:qFormat/>
    <w:uiPriority w:val="99"/>
    <w:tblPr>
      <w:tblCellMar>
        <w:top w:w="0" w:type="dxa"/>
        <w:left w:w="108" w:type="dxa"/>
        <w:bottom w:w="0" w:type="dxa"/>
        <w:right w:w="108" w:type="dxa"/>
      </w:tblCellMar>
    </w:tblPr>
  </w:style>
  <w:style w:type="paragraph" w:styleId="2">
    <w:name w:val="Balloon Text"/>
    <w:basedOn w:val="1"/>
    <w:link w:val="17"/>
    <w:semiHidden/>
    <w:unhideWhenUsed/>
    <w:qFormat/>
    <w:uiPriority w:val="99"/>
    <w:rPr>
      <w:sz w:val="18"/>
      <w:szCs w:val="18"/>
    </w:rPr>
  </w:style>
  <w:style w:type="paragraph" w:styleId="3">
    <w:name w:val="footer"/>
    <w:basedOn w:val="1"/>
    <w:link w:val="13"/>
    <w:unhideWhenUsed/>
    <w:qFormat/>
    <w:uiPriority w:val="99"/>
    <w:pPr>
      <w:tabs>
        <w:tab w:val="center" w:pos="4153"/>
        <w:tab w:val="right" w:pos="8306"/>
      </w:tabs>
      <w:snapToGrid w:val="0"/>
      <w:jc w:val="left"/>
    </w:pPr>
    <w:rPr>
      <w:sz w:val="18"/>
      <w:szCs w:val="18"/>
    </w:rPr>
  </w:style>
  <w:style w:type="paragraph" w:styleId="4">
    <w:name w:val="header"/>
    <w:basedOn w:val="1"/>
    <w:link w:val="12"/>
    <w:unhideWhenUsed/>
    <w:qFormat/>
    <w:uiPriority w:val="99"/>
    <w:pPr>
      <w:pBdr>
        <w:bottom w:val="single" w:color="auto" w:sz="6" w:space="1"/>
      </w:pBdr>
      <w:tabs>
        <w:tab w:val="center" w:pos="4153"/>
        <w:tab w:val="right" w:pos="8306"/>
      </w:tabs>
      <w:snapToGrid w:val="0"/>
      <w:jc w:val="center"/>
    </w:pPr>
    <w:rPr>
      <w:sz w:val="18"/>
      <w:szCs w:val="18"/>
    </w:rPr>
  </w:style>
  <w:style w:type="paragraph" w:styleId="5">
    <w:name w:val="Subtitle"/>
    <w:basedOn w:val="1"/>
    <w:link w:val="15"/>
    <w:autoRedefine/>
    <w:unhideWhenUsed/>
    <w:qFormat/>
    <w:uiPriority w:val="3"/>
    <w:pPr>
      <w:widowControl/>
      <w:spacing w:before="300" w:after="40" w:line="264" w:lineRule="auto"/>
      <w:contextualSpacing/>
      <w:jc w:val="center"/>
    </w:pPr>
    <w:rPr>
      <w:rFonts w:asciiTheme="majorHAnsi" w:hAnsiTheme="majorHAnsi" w:eastAsiaTheme="majorEastAsia" w:cstheme="majorBidi"/>
      <w:caps/>
      <w:color w:val="44546A" w:themeColor="text2"/>
      <w:kern w:val="0"/>
      <w:sz w:val="26"/>
      <w:szCs w:val="26"/>
      <w14:textFill>
        <w14:solidFill>
          <w14:schemeClr w14:val="tx2"/>
        </w14:solidFill>
      </w14:textFill>
    </w:rPr>
  </w:style>
  <w:style w:type="paragraph" w:styleId="6">
    <w:name w:val="Normal (Web)"/>
    <w:basedOn w:val="1"/>
    <w:autoRedefine/>
    <w:qFormat/>
    <w:uiPriority w:val="0"/>
    <w:pPr>
      <w:spacing w:beforeAutospacing="1" w:afterAutospacing="1"/>
      <w:jc w:val="left"/>
    </w:pPr>
    <w:rPr>
      <w:rFonts w:cs="Times New Roman"/>
      <w:kern w:val="0"/>
      <w:sz w:val="24"/>
    </w:rPr>
  </w:style>
  <w:style w:type="paragraph" w:styleId="7">
    <w:name w:val="Title"/>
    <w:basedOn w:val="1"/>
    <w:link w:val="14"/>
    <w:autoRedefine/>
    <w:unhideWhenUsed/>
    <w:qFormat/>
    <w:uiPriority w:val="2"/>
    <w:pPr>
      <w:widowControl/>
      <w:spacing w:before="440" w:after="40"/>
      <w:contextualSpacing/>
      <w:jc w:val="center"/>
    </w:pPr>
    <w:rPr>
      <w:rFonts w:asciiTheme="majorHAnsi" w:hAnsiTheme="majorHAnsi" w:eastAsiaTheme="majorEastAsia" w:cstheme="majorBidi"/>
      <w:color w:val="5B9BD5" w:themeColor="accent1"/>
      <w:kern w:val="28"/>
      <w:sz w:val="60"/>
      <w:szCs w:val="60"/>
      <w14:textFill>
        <w14:solidFill>
          <w14:schemeClr w14:val="accent1"/>
        </w14:solidFill>
      </w14:textFill>
    </w:rPr>
  </w:style>
  <w:style w:type="character" w:styleId="10">
    <w:name w:val="Hyperlink"/>
    <w:basedOn w:val="9"/>
    <w:unhideWhenUsed/>
    <w:qFormat/>
    <w:uiPriority w:val="99"/>
    <w:rPr>
      <w:color w:val="0563C1" w:themeColor="hyperlink"/>
      <w:u w:val="single"/>
      <w14:textFill>
        <w14:solidFill>
          <w14:schemeClr w14:val="hlink"/>
        </w14:solidFill>
      </w14:textFill>
    </w:rPr>
  </w:style>
  <w:style w:type="paragraph" w:styleId="11">
    <w:name w:val="List Paragraph"/>
    <w:basedOn w:val="1"/>
    <w:autoRedefine/>
    <w:qFormat/>
    <w:uiPriority w:val="34"/>
    <w:pPr>
      <w:ind w:firstLine="420" w:firstLineChars="200"/>
    </w:pPr>
  </w:style>
  <w:style w:type="character" w:customStyle="1" w:styleId="12">
    <w:name w:val="页眉 字符"/>
    <w:basedOn w:val="9"/>
    <w:link w:val="4"/>
    <w:autoRedefine/>
    <w:qFormat/>
    <w:uiPriority w:val="99"/>
    <w:rPr>
      <w:sz w:val="18"/>
      <w:szCs w:val="18"/>
    </w:rPr>
  </w:style>
  <w:style w:type="character" w:customStyle="1" w:styleId="13">
    <w:name w:val="页脚 字符"/>
    <w:basedOn w:val="9"/>
    <w:link w:val="3"/>
    <w:autoRedefine/>
    <w:qFormat/>
    <w:uiPriority w:val="99"/>
    <w:rPr>
      <w:sz w:val="18"/>
      <w:szCs w:val="18"/>
    </w:rPr>
  </w:style>
  <w:style w:type="character" w:customStyle="1" w:styleId="14">
    <w:name w:val="标题 字符"/>
    <w:basedOn w:val="9"/>
    <w:link w:val="7"/>
    <w:autoRedefine/>
    <w:qFormat/>
    <w:uiPriority w:val="2"/>
    <w:rPr>
      <w:rFonts w:asciiTheme="majorHAnsi" w:hAnsiTheme="majorHAnsi" w:eastAsiaTheme="majorEastAsia" w:cstheme="majorBidi"/>
      <w:color w:val="5B9BD5" w:themeColor="accent1"/>
      <w:kern w:val="28"/>
      <w:sz w:val="60"/>
      <w:szCs w:val="60"/>
      <w14:textFill>
        <w14:solidFill>
          <w14:schemeClr w14:val="accent1"/>
        </w14:solidFill>
      </w14:textFill>
    </w:rPr>
  </w:style>
  <w:style w:type="character" w:customStyle="1" w:styleId="15">
    <w:name w:val="副标题 字符"/>
    <w:basedOn w:val="9"/>
    <w:link w:val="5"/>
    <w:autoRedefine/>
    <w:qFormat/>
    <w:uiPriority w:val="3"/>
    <w:rPr>
      <w:rFonts w:asciiTheme="majorHAnsi" w:hAnsiTheme="majorHAnsi" w:eastAsiaTheme="majorEastAsia" w:cstheme="majorBidi"/>
      <w:caps/>
      <w:color w:val="44546A" w:themeColor="text2"/>
      <w:kern w:val="0"/>
      <w:sz w:val="26"/>
      <w:szCs w:val="26"/>
      <w14:textFill>
        <w14:solidFill>
          <w14:schemeClr w14:val="tx2"/>
        </w14:solidFill>
      </w14:textFill>
    </w:rPr>
  </w:style>
  <w:style w:type="paragraph" w:customStyle="1" w:styleId="16">
    <w:name w:val="照片"/>
    <w:basedOn w:val="1"/>
    <w:autoRedefine/>
    <w:qFormat/>
    <w:uiPriority w:val="1"/>
    <w:pPr>
      <w:widowControl/>
      <w:spacing w:before="2400" w:after="400" w:line="264" w:lineRule="auto"/>
      <w:jc w:val="center"/>
    </w:pPr>
    <w:rPr>
      <w:color w:val="44546A" w:themeColor="text2"/>
      <w:kern w:val="0"/>
      <w:sz w:val="22"/>
      <w14:textFill>
        <w14:solidFill>
          <w14:schemeClr w14:val="tx2"/>
        </w14:solidFill>
      </w14:textFill>
    </w:rPr>
  </w:style>
  <w:style w:type="character" w:customStyle="1" w:styleId="17">
    <w:name w:val="批注框文本 字符"/>
    <w:basedOn w:val="9"/>
    <w:link w:val="2"/>
    <w:autoRedefine/>
    <w:semiHidden/>
    <w:qFormat/>
    <w:uiPriority w:val="99"/>
    <w:rPr>
      <w:sz w:val="18"/>
      <w:szCs w:val="18"/>
    </w:rPr>
  </w:style>
  <w:style w:type="character" w:customStyle="1" w:styleId="18">
    <w:name w:val="Unresolved Mention"/>
    <w:basedOn w:val="9"/>
    <w:semiHidden/>
    <w:unhideWhenUsed/>
    <w:qFormat/>
    <w:uiPriority w:val="99"/>
    <w:rPr>
      <w:color w:val="605E5C"/>
      <w:shd w:val="clear" w:color="auto" w:fill="E1DFDD"/>
    </w:rPr>
  </w:style>
</w:styles>
</file>

<file path=word/_rels/document.xml.rels><?xml version="1.0" encoding="UTF-8" standalone="yes"?>
<Relationships xmlns="http://schemas.openxmlformats.org/package/2006/relationships"><Relationship Id="rId9" Type="http://schemas.openxmlformats.org/officeDocument/2006/relationships/image" Target="media/image6.png"/><Relationship Id="rId8" Type="http://schemas.openxmlformats.org/officeDocument/2006/relationships/image" Target="media/image5.png"/><Relationship Id="rId7" Type="http://schemas.openxmlformats.org/officeDocument/2006/relationships/image" Target="media/image4.png"/><Relationship Id="rId6" Type="http://schemas.openxmlformats.org/officeDocument/2006/relationships/image" Target="media/image3.png"/><Relationship Id="rId5" Type="http://schemas.openxmlformats.org/officeDocument/2006/relationships/image" Target="media/image2.jpeg"/><Relationship Id="rId4" Type="http://schemas.openxmlformats.org/officeDocument/2006/relationships/image" Target="media/image1.png"/><Relationship Id="rId3" Type="http://schemas.openxmlformats.org/officeDocument/2006/relationships/theme" Target="theme/theme1.xml"/><Relationship Id="rId27" Type="http://schemas.openxmlformats.org/officeDocument/2006/relationships/fontTable" Target="fontTable.xml"/><Relationship Id="rId26" Type="http://schemas.openxmlformats.org/officeDocument/2006/relationships/numbering" Target="numbering.xml"/><Relationship Id="rId25" Type="http://schemas.openxmlformats.org/officeDocument/2006/relationships/customXml" Target="../customXml/item1.xml"/><Relationship Id="rId24" Type="http://schemas.openxmlformats.org/officeDocument/2006/relationships/image" Target="media/image21.jpeg"/><Relationship Id="rId23" Type="http://schemas.openxmlformats.org/officeDocument/2006/relationships/image" Target="media/image20.jpeg"/><Relationship Id="rId22" Type="http://schemas.openxmlformats.org/officeDocument/2006/relationships/image" Target="media/image19.png"/><Relationship Id="rId21" Type="http://schemas.openxmlformats.org/officeDocument/2006/relationships/image" Target="media/image18.jpeg"/><Relationship Id="rId20" Type="http://schemas.openxmlformats.org/officeDocument/2006/relationships/image" Target="media/image17.png"/><Relationship Id="rId2" Type="http://schemas.openxmlformats.org/officeDocument/2006/relationships/settings" Target="settings.xml"/><Relationship Id="rId19" Type="http://schemas.openxmlformats.org/officeDocument/2006/relationships/image" Target="media/image16.png"/><Relationship Id="rId18" Type="http://schemas.openxmlformats.org/officeDocument/2006/relationships/image" Target="media/image15.png"/><Relationship Id="rId17" Type="http://schemas.openxmlformats.org/officeDocument/2006/relationships/image" Target="media/image14.png"/><Relationship Id="rId16" Type="http://schemas.openxmlformats.org/officeDocument/2006/relationships/image" Target="media/image13.jpeg"/><Relationship Id="rId15" Type="http://schemas.openxmlformats.org/officeDocument/2006/relationships/image" Target="media/image12.png"/><Relationship Id="rId14" Type="http://schemas.openxmlformats.org/officeDocument/2006/relationships/image" Target="media/image11.png"/><Relationship Id="rId13" Type="http://schemas.openxmlformats.org/officeDocument/2006/relationships/image" Target="media/image10.jpeg"/><Relationship Id="rId12" Type="http://schemas.openxmlformats.org/officeDocument/2006/relationships/image" Target="media/image9.jpeg"/><Relationship Id="rId11" Type="http://schemas.openxmlformats.org/officeDocument/2006/relationships/image" Target="media/image8.jpeg"/><Relationship Id="rId10" Type="http://schemas.openxmlformats.org/officeDocument/2006/relationships/image" Target="media/image7.jpe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CCE8C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Pages>11</Pages>
  <Words>4152</Words>
  <Characters>4208</Characters>
  <Lines>10</Lines>
  <Paragraphs>3</Paragraphs>
  <TotalTime>15</TotalTime>
  <ScaleCrop>false</ScaleCrop>
  <LinksUpToDate>false</LinksUpToDate>
  <CharactersWithSpaces>4208</CharactersWithSpaces>
  <Application>WPS Office_12.1.0.19770_F1E327BC-269C-435d-A152-05C5408002CA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2018-11-13T05:45:00Z</dcterms:created>
  <dc:creator>Administrator</dc:creator>
  <cp:lastModifiedBy>胡玮</cp:lastModifiedBy>
  <dcterms:modified xsi:type="dcterms:W3CDTF">2025-02-17T16:30:23Z</dcterms:modified>
  <cp:revision>92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2052-12.1.0.19770</vt:lpwstr>
  </property>
  <property fmtid="{D5CDD505-2E9C-101B-9397-08002B2CF9AE}" pid="3" name="ICV">
    <vt:lpwstr>C6A579920A3344DA9DE87599B21D428D_13</vt:lpwstr>
  </property>
  <property fmtid="{D5CDD505-2E9C-101B-9397-08002B2CF9AE}" pid="4" name="KSOTemplateDocerSaveRecord">
    <vt:lpwstr>eyJoZGlkIjoiNGE2OWM4NTQ2MWU0ZjFmZmU0ODIxMjA5NWM0NGVmNGIiLCJ1c2VySWQiOiI3MjIwMjU2MjIifQ==</vt:lpwstr>
  </property>
</Properties>
</file>