
<file path=[Content_Types].xml><?xml version="1.0" encoding="utf-8"?>
<Types xmlns="http://schemas.openxmlformats.org/package/2006/content-types">
  <Default Extension="xml" ContentType="application/xml"/>
  <Default Extension="gif" ContentType="image/gif"/>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4"/>
        <w:rPr>
          <w:rFonts w:ascii="宋体" w:hAnsi="宋体" w:eastAsia="宋体"/>
          <w:color w:val="auto"/>
          <w:sz w:val="21"/>
          <w:szCs w:val="21"/>
        </w:rPr>
      </w:pPr>
      <w:r>
        <w:rPr>
          <w:rFonts w:hint="eastAsia" w:eastAsiaTheme="minorEastAsia"/>
          <w:lang w:eastAsia="zh-CN"/>
        </w:rPr>
        <w:drawing>
          <wp:anchor distT="0" distB="0" distL="114300" distR="114300" simplePos="0" relativeHeight="251660288" behindDoc="0" locked="0" layoutInCell="1" allowOverlap="1">
            <wp:simplePos x="0" y="0"/>
            <wp:positionH relativeFrom="column">
              <wp:posOffset>-748030</wp:posOffset>
            </wp:positionH>
            <wp:positionV relativeFrom="paragraph">
              <wp:posOffset>-882015</wp:posOffset>
            </wp:positionV>
            <wp:extent cx="2832100" cy="486410"/>
            <wp:effectExtent l="0" t="0" r="0" b="8890"/>
            <wp:wrapNone/>
            <wp:docPr id="25" name="图片 25" descr="学院logo+文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学院logo+文字"/>
                    <pic:cNvPicPr>
                      <a:picLocks noChangeAspect="1"/>
                    </pic:cNvPicPr>
                  </pic:nvPicPr>
                  <pic:blipFill>
                    <a:blip r:embed="rId4"/>
                    <a:stretch>
                      <a:fillRect/>
                    </a:stretch>
                  </pic:blipFill>
                  <pic:spPr>
                    <a:xfrm>
                      <a:off x="0" y="0"/>
                      <a:ext cx="2832100" cy="486410"/>
                    </a:xfrm>
                    <a:prstGeom prst="rect">
                      <a:avLst/>
                    </a:prstGeom>
                  </pic:spPr>
                </pic:pic>
              </a:graphicData>
            </a:graphic>
          </wp:anchor>
        </w:drawing>
      </w:r>
      <w:bookmarkStart w:id="2" w:name="_GoBack"/>
      <w:bookmarkEnd w:id="2"/>
      <w:r>
        <w:rPr>
          <w:sz w:val="18"/>
        </w:rPr>
        <mc:AlternateContent>
          <mc:Choice Requires="wps">
            <w:drawing>
              <wp:anchor distT="0" distB="0" distL="114300" distR="114300" simplePos="0" relativeHeight="251661312" behindDoc="0" locked="0" layoutInCell="1" allowOverlap="1">
                <wp:simplePos x="0" y="0"/>
                <wp:positionH relativeFrom="column">
                  <wp:posOffset>-594995</wp:posOffset>
                </wp:positionH>
                <wp:positionV relativeFrom="paragraph">
                  <wp:posOffset>1012190</wp:posOffset>
                </wp:positionV>
                <wp:extent cx="6480175" cy="1800225"/>
                <wp:effectExtent l="0" t="0" r="0" b="0"/>
                <wp:wrapNone/>
                <wp:docPr id="6" name="文本框 6"/>
                <wp:cNvGraphicFramePr/>
                <a:graphic xmlns:a="http://schemas.openxmlformats.org/drawingml/2006/main">
                  <a:graphicData uri="http://schemas.microsoft.com/office/word/2010/wordprocessingShape">
                    <wps:wsp>
                      <wps:cNvSpPr txBox="1"/>
                      <wps:spPr>
                        <a:xfrm>
                          <a:off x="0" y="0"/>
                          <a:ext cx="6480175" cy="1800225"/>
                        </a:xfrm>
                        <a:prstGeom prst="rect">
                          <a:avLst/>
                        </a:prstGeom>
                        <a:noFill/>
                        <a:ln w="6350">
                          <a:noFill/>
                        </a:ln>
                        <a:effectLst/>
                      </wps:spPr>
                      <wps:txbx>
                        <w:txbxContent>
                          <w:p>
                            <w:pPr>
                              <w:jc w:val="center"/>
                              <w:rPr>
                                <w:rFonts w:hint="eastAsia" w:ascii="微软雅黑" w:hAnsi="微软雅黑" w:eastAsia="微软雅黑" w:cs="微软雅黑"/>
                                <w:b/>
                                <w:bCs/>
                                <w:color w:val="404040" w:themeColor="text1" w:themeTint="BF"/>
                                <w:sz w:val="56"/>
                                <w:szCs w:val="56"/>
                                <w:lang w:val="en-US" w:eastAsia="zh-CN"/>
                                <w14:textFill>
                                  <w14:solidFill>
                                    <w14:schemeClr w14:val="tx1">
                                      <w14:lumMod w14:val="75000"/>
                                      <w14:lumOff w14:val="25000"/>
                                    </w14:schemeClr>
                                  </w14:solidFill>
                                </w14:textFill>
                              </w:rPr>
                            </w:pPr>
                            <w:r>
                              <w:rPr>
                                <w:rFonts w:hint="eastAsia" w:ascii="微软雅黑" w:hAnsi="微软雅黑" w:eastAsia="微软雅黑" w:cs="微软雅黑"/>
                                <w:b/>
                                <w:bCs/>
                                <w:color w:val="404040" w:themeColor="text1" w:themeTint="BF"/>
                                <w:sz w:val="56"/>
                                <w:szCs w:val="56"/>
                                <w:lang w:val="en-US" w:eastAsia="zh-CN"/>
                                <w14:textFill>
                                  <w14:solidFill>
                                    <w14:schemeClr w14:val="tx1">
                                      <w14:lumMod w14:val="75000"/>
                                      <w14:lumOff w14:val="25000"/>
                                    </w14:schemeClr>
                                  </w14:solidFill>
                                </w14:textFill>
                              </w:rPr>
                              <w:t>江苏苏恒教育科技（集团）有限公司</w:t>
                            </w:r>
                          </w:p>
                          <w:p>
                            <w:pPr>
                              <w:jc w:val="center"/>
                              <w:rPr>
                                <w:rFonts w:hint="eastAsia" w:ascii="微软雅黑" w:hAnsi="微软雅黑" w:eastAsia="微软雅黑" w:cs="微软雅黑"/>
                                <w:b w:val="0"/>
                                <w:bCs w:val="0"/>
                                <w:color w:val="404040" w:themeColor="text1" w:themeTint="BF"/>
                                <w:sz w:val="52"/>
                                <w:szCs w:val="52"/>
                                <w:lang w:val="en-US" w:eastAsia="zh-CN"/>
                                <w14:textFill>
                                  <w14:solidFill>
                                    <w14:schemeClr w14:val="tx1">
                                      <w14:lumMod w14:val="75000"/>
                                      <w14:lumOff w14:val="25000"/>
                                    </w14:schemeClr>
                                  </w14:solidFill>
                                </w14:textFill>
                              </w:rPr>
                            </w:pPr>
                            <w:r>
                              <w:rPr>
                                <w:rFonts w:hint="eastAsia" w:ascii="微软雅黑" w:hAnsi="微软雅黑" w:eastAsia="微软雅黑" w:cs="微软雅黑"/>
                                <w:b w:val="0"/>
                                <w:bCs w:val="0"/>
                                <w:color w:val="404040" w:themeColor="text1" w:themeTint="BF"/>
                                <w:sz w:val="52"/>
                                <w:szCs w:val="52"/>
                                <w:lang w:val="en-US" w:eastAsia="zh-CN"/>
                                <w14:textFill>
                                  <w14:solidFill>
                                    <w14:schemeClr w14:val="tx1">
                                      <w14:lumMod w14:val="75000"/>
                                      <w14:lumOff w14:val="25000"/>
                                    </w14:schemeClr>
                                  </w14:solidFill>
                                </w14:textFill>
                              </w:rPr>
                              <w:t>企业参与高等职业教育人才培养年度报告</w:t>
                            </w:r>
                          </w:p>
                          <w:p>
                            <w:pPr>
                              <w:jc w:val="center"/>
                              <w:rPr>
                                <w:rFonts w:hint="default" w:ascii="微软雅黑" w:hAnsi="微软雅黑" w:eastAsia="微软雅黑" w:cs="微软雅黑"/>
                                <w:b/>
                                <w:bCs/>
                                <w:color w:val="404040" w:themeColor="text1" w:themeTint="BF"/>
                                <w:sz w:val="72"/>
                                <w:szCs w:val="72"/>
                                <w:lang w:val="en-US" w:eastAsia="zh-CN"/>
                                <w14:textFill>
                                  <w14:solidFill>
                                    <w14:schemeClr w14:val="tx1">
                                      <w14:lumMod w14:val="75000"/>
                                      <w14:lumOff w14:val="25000"/>
                                    </w14:schemeClr>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46.85pt;margin-top:79.7pt;height:141.75pt;width:510.25pt;z-index:251661312;mso-width-relative:page;mso-height-relative:page;" filled="f" stroked="f" coordsize="21600,21600" o:gfxdata="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E8VcyNwAAAALAQAADwAAAAAAAAABACAA&#10;AAAiAAAAZHJzL2Rvd25yZXYueG1sUEsBAhQAFAAAAAgAh07iQOjq0LhCAgAAdQQAAA4AAAAAAAAA&#10;AQAgAAAAKwEAAGRycy9lMm9Eb2MueG1sUEsFBgAAAAAGAAYAWQEAAN8FAAAAAA==&#10;">
                <v:fill on="f" focussize="0,0"/>
                <v:stroke on="f" weight="0.5pt"/>
                <v:imagedata o:title=""/>
                <o:lock v:ext="edit" aspectratio="f"/>
                <v:textbox>
                  <w:txbxContent>
                    <w:p>
                      <w:pPr>
                        <w:jc w:val="center"/>
                        <w:rPr>
                          <w:rFonts w:hint="eastAsia" w:ascii="微软雅黑" w:hAnsi="微软雅黑" w:eastAsia="微软雅黑" w:cs="微软雅黑"/>
                          <w:b/>
                          <w:bCs/>
                          <w:color w:val="404040" w:themeColor="text1" w:themeTint="BF"/>
                          <w:sz w:val="56"/>
                          <w:szCs w:val="56"/>
                          <w:lang w:val="en-US" w:eastAsia="zh-CN"/>
                          <w14:textFill>
                            <w14:solidFill>
                              <w14:schemeClr w14:val="tx1">
                                <w14:lumMod w14:val="75000"/>
                                <w14:lumOff w14:val="25000"/>
                              </w14:schemeClr>
                            </w14:solidFill>
                          </w14:textFill>
                        </w:rPr>
                      </w:pPr>
                      <w:r>
                        <w:rPr>
                          <w:rFonts w:hint="eastAsia" w:ascii="微软雅黑" w:hAnsi="微软雅黑" w:eastAsia="微软雅黑" w:cs="微软雅黑"/>
                          <w:b/>
                          <w:bCs/>
                          <w:color w:val="404040" w:themeColor="text1" w:themeTint="BF"/>
                          <w:sz w:val="56"/>
                          <w:szCs w:val="56"/>
                          <w:lang w:val="en-US" w:eastAsia="zh-CN"/>
                          <w14:textFill>
                            <w14:solidFill>
                              <w14:schemeClr w14:val="tx1">
                                <w14:lumMod w14:val="75000"/>
                                <w14:lumOff w14:val="25000"/>
                              </w14:schemeClr>
                            </w14:solidFill>
                          </w14:textFill>
                        </w:rPr>
                        <w:t>江苏苏恒教育科技（集团）有限公司</w:t>
                      </w:r>
                    </w:p>
                    <w:p>
                      <w:pPr>
                        <w:jc w:val="center"/>
                        <w:rPr>
                          <w:rFonts w:hint="eastAsia" w:ascii="微软雅黑" w:hAnsi="微软雅黑" w:eastAsia="微软雅黑" w:cs="微软雅黑"/>
                          <w:b w:val="0"/>
                          <w:bCs w:val="0"/>
                          <w:color w:val="404040" w:themeColor="text1" w:themeTint="BF"/>
                          <w:sz w:val="52"/>
                          <w:szCs w:val="52"/>
                          <w:lang w:val="en-US" w:eastAsia="zh-CN"/>
                          <w14:textFill>
                            <w14:solidFill>
                              <w14:schemeClr w14:val="tx1">
                                <w14:lumMod w14:val="75000"/>
                                <w14:lumOff w14:val="25000"/>
                              </w14:schemeClr>
                            </w14:solidFill>
                          </w14:textFill>
                        </w:rPr>
                      </w:pPr>
                      <w:r>
                        <w:rPr>
                          <w:rFonts w:hint="eastAsia" w:ascii="微软雅黑" w:hAnsi="微软雅黑" w:eastAsia="微软雅黑" w:cs="微软雅黑"/>
                          <w:b w:val="0"/>
                          <w:bCs w:val="0"/>
                          <w:color w:val="404040" w:themeColor="text1" w:themeTint="BF"/>
                          <w:sz w:val="52"/>
                          <w:szCs w:val="52"/>
                          <w:lang w:val="en-US" w:eastAsia="zh-CN"/>
                          <w14:textFill>
                            <w14:solidFill>
                              <w14:schemeClr w14:val="tx1">
                                <w14:lumMod w14:val="75000"/>
                                <w14:lumOff w14:val="25000"/>
                              </w14:schemeClr>
                            </w14:solidFill>
                          </w14:textFill>
                        </w:rPr>
                        <w:t>企业参与高等职业教育人才培养年度报告</w:t>
                      </w:r>
                    </w:p>
                    <w:p>
                      <w:pPr>
                        <w:jc w:val="center"/>
                        <w:rPr>
                          <w:rFonts w:hint="default" w:ascii="微软雅黑" w:hAnsi="微软雅黑" w:eastAsia="微软雅黑" w:cs="微软雅黑"/>
                          <w:b/>
                          <w:bCs/>
                          <w:color w:val="404040" w:themeColor="text1" w:themeTint="BF"/>
                          <w:sz w:val="72"/>
                          <w:szCs w:val="72"/>
                          <w:lang w:val="en-US" w:eastAsia="zh-CN"/>
                          <w14:textFill>
                            <w14:solidFill>
                              <w14:schemeClr w14:val="tx1">
                                <w14:lumMod w14:val="75000"/>
                                <w14:lumOff w14:val="25000"/>
                              </w14:schemeClr>
                            </w14:solidFill>
                          </w14:textFill>
                        </w:rPr>
                      </w:pPr>
                    </w:p>
                  </w:txbxContent>
                </v:textbox>
              </v:shape>
            </w:pict>
          </mc:Fallback>
        </mc:AlternateContent>
      </w:r>
      <w:r>
        <w:rPr>
          <w:sz w:val="18"/>
        </w:rPr>
        <mc:AlternateContent>
          <mc:Choice Requires="wps">
            <w:drawing>
              <wp:anchor distT="0" distB="0" distL="114300" distR="114300" simplePos="0" relativeHeight="251662336" behindDoc="0" locked="0" layoutInCell="1" allowOverlap="1">
                <wp:simplePos x="0" y="0"/>
                <wp:positionH relativeFrom="column">
                  <wp:posOffset>-448945</wp:posOffset>
                </wp:positionH>
                <wp:positionV relativeFrom="paragraph">
                  <wp:posOffset>6170295</wp:posOffset>
                </wp:positionV>
                <wp:extent cx="6480175" cy="313309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6480175" cy="3133090"/>
                        </a:xfrm>
                        <a:prstGeom prst="rect">
                          <a:avLst/>
                        </a:prstGeom>
                        <a:noFill/>
                        <a:ln w="6350">
                          <a:noFill/>
                        </a:ln>
                        <a:effectLst/>
                      </wps:spPr>
                      <wps:txbx>
                        <w:txbxContent>
                          <w:p>
                            <w:pPr>
                              <w:jc w:val="right"/>
                              <w:rPr>
                                <w:rFonts w:hint="eastAsia" w:ascii="微软雅黑" w:hAnsi="微软雅黑" w:eastAsia="微软雅黑" w:cs="微软雅黑"/>
                                <w:b/>
                                <w:bCs/>
                                <w:color w:val="FFFFFF" w:themeColor="background1"/>
                                <w:sz w:val="160"/>
                                <w:szCs w:val="160"/>
                                <w:lang w:val="en-US" w:eastAsia="zh-CN"/>
                                <w14:textFill>
                                  <w14:solidFill>
                                    <w14:schemeClr w14:val="bg1"/>
                                  </w14:solidFill>
                                </w14:textFill>
                              </w:rPr>
                            </w:pPr>
                            <w:r>
                              <w:rPr>
                                <w:rFonts w:hint="eastAsia" w:ascii="微软雅黑" w:hAnsi="微软雅黑" w:eastAsia="微软雅黑" w:cs="微软雅黑"/>
                                <w:b/>
                                <w:bCs/>
                                <w:color w:val="FFFFFF" w:themeColor="background1"/>
                                <w:sz w:val="160"/>
                                <w:szCs w:val="160"/>
                                <w:lang w:val="en-US" w:eastAsia="zh-CN"/>
                                <w14:textFill>
                                  <w14:solidFill>
                                    <w14:schemeClr w14:val="bg1"/>
                                  </w14:solidFill>
                                </w14:textFill>
                              </w:rPr>
                              <w:t>2023</w:t>
                            </w:r>
                          </w:p>
                          <w:p>
                            <w:pPr>
                              <w:jc w:val="center"/>
                              <w:rPr>
                                <w:rFonts w:hint="eastAsia" w:ascii="微软雅黑" w:hAnsi="微软雅黑" w:eastAsia="微软雅黑" w:cs="微软雅黑"/>
                                <w:b/>
                                <w:bCs/>
                                <w:color w:val="FFFFFF" w:themeColor="background1"/>
                                <w:sz w:val="28"/>
                                <w:szCs w:val="28"/>
                                <w:lang w:val="en-US" w:eastAsia="zh-CN"/>
                                <w14:textFill>
                                  <w14:solidFill>
                                    <w14:schemeClr w14:val="bg1"/>
                                  </w14:solidFill>
                                </w14:textFill>
                              </w:rPr>
                            </w:pPr>
                          </w:p>
                          <w:p>
                            <w:pPr>
                              <w:jc w:val="center"/>
                              <w:rPr>
                                <w:rFonts w:hint="eastAsia" w:ascii="微软雅黑" w:hAnsi="微软雅黑" w:eastAsia="微软雅黑" w:cs="微软雅黑"/>
                                <w:b/>
                                <w:bCs/>
                                <w:color w:val="F2F2F2" w:themeColor="background1" w:themeShade="F2"/>
                                <w:sz w:val="28"/>
                                <w:szCs w:val="28"/>
                                <w:lang w:val="en-US" w:eastAsia="zh-CN"/>
                              </w:rPr>
                            </w:pPr>
                            <w:r>
                              <w:rPr>
                                <w:rFonts w:hint="eastAsia" w:ascii="微软雅黑" w:hAnsi="微软雅黑" w:eastAsia="微软雅黑" w:cs="微软雅黑"/>
                                <w:b/>
                                <w:bCs/>
                                <w:color w:val="F2F2F2" w:themeColor="background1" w:themeShade="F2"/>
                                <w:sz w:val="28"/>
                                <w:szCs w:val="28"/>
                                <w:lang w:val="en-US" w:eastAsia="zh-CN"/>
                              </w:rPr>
                              <w:t>苏州高博软件技术职业学院</w:t>
                            </w:r>
                          </w:p>
                          <w:p>
                            <w:pPr>
                              <w:jc w:val="center"/>
                              <w:rPr>
                                <w:rFonts w:hint="default" w:ascii="微软雅黑" w:hAnsi="微软雅黑" w:eastAsia="微软雅黑" w:cs="微软雅黑"/>
                                <w:b/>
                                <w:bCs/>
                                <w:color w:val="F2F2F2" w:themeColor="background1" w:themeShade="F2"/>
                                <w:sz w:val="28"/>
                                <w:szCs w:val="28"/>
                                <w:lang w:val="en-US" w:eastAsia="zh-CN"/>
                              </w:rPr>
                            </w:pPr>
                            <w:r>
                              <w:rPr>
                                <w:rFonts w:hint="eastAsia" w:ascii="微软雅黑" w:hAnsi="微软雅黑" w:eastAsia="微软雅黑" w:cs="微软雅黑"/>
                                <w:b/>
                                <w:bCs/>
                                <w:color w:val="F2F2F2" w:themeColor="background1" w:themeShade="F2"/>
                                <w:sz w:val="28"/>
                                <w:szCs w:val="28"/>
                                <w:lang w:val="en-US" w:eastAsia="zh-CN"/>
                              </w:rPr>
                              <w:t>二〇二二年十二月</w:t>
                            </w:r>
                          </w:p>
                          <w:p>
                            <w:pPr>
                              <w:jc w:val="both"/>
                              <w:rPr>
                                <w:rFonts w:hint="default" w:ascii="微软雅黑" w:hAnsi="微软雅黑" w:eastAsia="微软雅黑" w:cs="微软雅黑"/>
                                <w:b/>
                                <w:bCs/>
                                <w:color w:val="FFFFFF" w:themeColor="background1"/>
                                <w:sz w:val="24"/>
                                <w:szCs w:val="24"/>
                                <w:lang w:val="en-US" w:eastAsia="zh-CN"/>
                                <w14:textFill>
                                  <w14:solidFill>
                                    <w14:schemeClr w14:val="bg1"/>
                                  </w14:solidFill>
                                </w14:textFill>
                              </w:rPr>
                            </w:pPr>
                          </w:p>
                          <w:p>
                            <w:pPr>
                              <w:jc w:val="right"/>
                              <w:rPr>
                                <w:rFonts w:hint="default" w:ascii="微软雅黑" w:hAnsi="微软雅黑" w:eastAsia="微软雅黑" w:cs="微软雅黑"/>
                                <w:b/>
                                <w:bCs/>
                                <w:color w:val="FFFFFF" w:themeColor="background1"/>
                                <w:sz w:val="160"/>
                                <w:szCs w:val="160"/>
                                <w:lang w:val="en-US" w:eastAsia="zh-CN"/>
                                <w14:textFill>
                                  <w14:solidFill>
                                    <w14:schemeClr w14:val="bg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5.35pt;margin-top:485.85pt;height:246.7pt;width:510.25pt;z-index:251662336;mso-width-relative:page;mso-height-relative:page;" filled="f" stroked="f" coordsize="21600,21600" o:gfxdata="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LSHmzTdAAAADAEAAA8AAAAAAAAA&#10;AQAgAAAAIgAAAGRycy9kb3ducmV2LnhtbFBLAQIUABQAAAAIAIdO4kDzd5HhRQIAAHcEAAAOAAAA&#10;AAAAAAEAIAAAACwBAABkcnMvZTJvRG9jLnhtbFBLBQYAAAAABgAGAFkBAADjBQAAAAA=&#10;">
                <v:fill on="f" focussize="0,0"/>
                <v:stroke on="f" weight="0.5pt"/>
                <v:imagedata o:title=""/>
                <o:lock v:ext="edit" aspectratio="f"/>
                <v:textbox>
                  <w:txbxContent>
                    <w:p>
                      <w:pPr>
                        <w:jc w:val="right"/>
                        <w:rPr>
                          <w:rFonts w:hint="eastAsia" w:ascii="微软雅黑" w:hAnsi="微软雅黑" w:eastAsia="微软雅黑" w:cs="微软雅黑"/>
                          <w:b/>
                          <w:bCs/>
                          <w:color w:val="FFFFFF" w:themeColor="background1"/>
                          <w:sz w:val="160"/>
                          <w:szCs w:val="160"/>
                          <w:lang w:val="en-US" w:eastAsia="zh-CN"/>
                          <w14:textFill>
                            <w14:solidFill>
                              <w14:schemeClr w14:val="bg1"/>
                            </w14:solidFill>
                          </w14:textFill>
                        </w:rPr>
                      </w:pPr>
                      <w:r>
                        <w:rPr>
                          <w:rFonts w:hint="eastAsia" w:ascii="微软雅黑" w:hAnsi="微软雅黑" w:eastAsia="微软雅黑" w:cs="微软雅黑"/>
                          <w:b/>
                          <w:bCs/>
                          <w:color w:val="FFFFFF" w:themeColor="background1"/>
                          <w:sz w:val="160"/>
                          <w:szCs w:val="160"/>
                          <w:lang w:val="en-US" w:eastAsia="zh-CN"/>
                          <w14:textFill>
                            <w14:solidFill>
                              <w14:schemeClr w14:val="bg1"/>
                            </w14:solidFill>
                          </w14:textFill>
                        </w:rPr>
                        <w:t>2023</w:t>
                      </w:r>
                    </w:p>
                    <w:p>
                      <w:pPr>
                        <w:jc w:val="center"/>
                        <w:rPr>
                          <w:rFonts w:hint="eastAsia" w:ascii="微软雅黑" w:hAnsi="微软雅黑" w:eastAsia="微软雅黑" w:cs="微软雅黑"/>
                          <w:b/>
                          <w:bCs/>
                          <w:color w:val="FFFFFF" w:themeColor="background1"/>
                          <w:sz w:val="28"/>
                          <w:szCs w:val="28"/>
                          <w:lang w:val="en-US" w:eastAsia="zh-CN"/>
                          <w14:textFill>
                            <w14:solidFill>
                              <w14:schemeClr w14:val="bg1"/>
                            </w14:solidFill>
                          </w14:textFill>
                        </w:rPr>
                      </w:pPr>
                    </w:p>
                    <w:p>
                      <w:pPr>
                        <w:jc w:val="center"/>
                        <w:rPr>
                          <w:rFonts w:hint="eastAsia" w:ascii="微软雅黑" w:hAnsi="微软雅黑" w:eastAsia="微软雅黑" w:cs="微软雅黑"/>
                          <w:b/>
                          <w:bCs/>
                          <w:color w:val="F2F2F2" w:themeColor="background1" w:themeShade="F2"/>
                          <w:sz w:val="28"/>
                          <w:szCs w:val="28"/>
                          <w:lang w:val="en-US" w:eastAsia="zh-CN"/>
                        </w:rPr>
                      </w:pPr>
                      <w:r>
                        <w:rPr>
                          <w:rFonts w:hint="eastAsia" w:ascii="微软雅黑" w:hAnsi="微软雅黑" w:eastAsia="微软雅黑" w:cs="微软雅黑"/>
                          <w:b/>
                          <w:bCs/>
                          <w:color w:val="F2F2F2" w:themeColor="background1" w:themeShade="F2"/>
                          <w:sz w:val="28"/>
                          <w:szCs w:val="28"/>
                          <w:lang w:val="en-US" w:eastAsia="zh-CN"/>
                        </w:rPr>
                        <w:t>苏州高博软件技术职业学院</w:t>
                      </w:r>
                    </w:p>
                    <w:p>
                      <w:pPr>
                        <w:jc w:val="center"/>
                        <w:rPr>
                          <w:rFonts w:hint="default" w:ascii="微软雅黑" w:hAnsi="微软雅黑" w:eastAsia="微软雅黑" w:cs="微软雅黑"/>
                          <w:b/>
                          <w:bCs/>
                          <w:color w:val="F2F2F2" w:themeColor="background1" w:themeShade="F2"/>
                          <w:sz w:val="28"/>
                          <w:szCs w:val="28"/>
                          <w:lang w:val="en-US" w:eastAsia="zh-CN"/>
                        </w:rPr>
                      </w:pPr>
                      <w:r>
                        <w:rPr>
                          <w:rFonts w:hint="eastAsia" w:ascii="微软雅黑" w:hAnsi="微软雅黑" w:eastAsia="微软雅黑" w:cs="微软雅黑"/>
                          <w:b/>
                          <w:bCs/>
                          <w:color w:val="F2F2F2" w:themeColor="background1" w:themeShade="F2"/>
                          <w:sz w:val="28"/>
                          <w:szCs w:val="28"/>
                          <w:lang w:val="en-US" w:eastAsia="zh-CN"/>
                        </w:rPr>
                        <w:t>二〇二二年十二月</w:t>
                      </w:r>
                    </w:p>
                    <w:p>
                      <w:pPr>
                        <w:jc w:val="both"/>
                        <w:rPr>
                          <w:rFonts w:hint="default" w:ascii="微软雅黑" w:hAnsi="微软雅黑" w:eastAsia="微软雅黑" w:cs="微软雅黑"/>
                          <w:b/>
                          <w:bCs/>
                          <w:color w:val="FFFFFF" w:themeColor="background1"/>
                          <w:sz w:val="24"/>
                          <w:szCs w:val="24"/>
                          <w:lang w:val="en-US" w:eastAsia="zh-CN"/>
                          <w14:textFill>
                            <w14:solidFill>
                              <w14:schemeClr w14:val="bg1"/>
                            </w14:solidFill>
                          </w14:textFill>
                        </w:rPr>
                      </w:pPr>
                    </w:p>
                    <w:p>
                      <w:pPr>
                        <w:jc w:val="right"/>
                        <w:rPr>
                          <w:rFonts w:hint="default" w:ascii="微软雅黑" w:hAnsi="微软雅黑" w:eastAsia="微软雅黑" w:cs="微软雅黑"/>
                          <w:b/>
                          <w:bCs/>
                          <w:color w:val="FFFFFF" w:themeColor="background1"/>
                          <w:sz w:val="160"/>
                          <w:szCs w:val="160"/>
                          <w:lang w:val="en-US" w:eastAsia="zh-CN"/>
                          <w14:textFill>
                            <w14:solidFill>
                              <w14:schemeClr w14:val="bg1"/>
                            </w14:solidFill>
                          </w14:textFill>
                        </w:rPr>
                      </w:pPr>
                    </w:p>
                  </w:txbxContent>
                </v:textbox>
              </v:shape>
            </w:pict>
          </mc:Fallback>
        </mc:AlternateContent>
      </w:r>
      <w:r>
        <w:rPr>
          <w:rFonts w:hint="eastAsia" w:eastAsiaTheme="minorEastAsia"/>
          <w:lang w:eastAsia="zh-CN"/>
        </w:rPr>
        <w:drawing>
          <wp:anchor distT="0" distB="0" distL="114300" distR="114300" simplePos="0" relativeHeight="251659264" behindDoc="1" locked="0" layoutInCell="1" allowOverlap="1">
            <wp:simplePos x="0" y="0"/>
            <wp:positionH relativeFrom="column">
              <wp:posOffset>-1008380</wp:posOffset>
            </wp:positionH>
            <wp:positionV relativeFrom="paragraph">
              <wp:posOffset>-1080135</wp:posOffset>
            </wp:positionV>
            <wp:extent cx="7574280" cy="10714355"/>
            <wp:effectExtent l="0" t="0" r="7620" b="4445"/>
            <wp:wrapNone/>
            <wp:docPr id="24" name="ABU设计" descr="F:\稻壳-阿源设计\H活动供稿\2019-08-08-封面\3-项目计划-10-10\改\9.jpg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BU设计" descr="F:\稻壳-阿源设计\H活动供稿\2019-08-08-封面\3-项目计划-10-10\改\9.jpg9"/>
                    <pic:cNvPicPr>
                      <a:picLocks noChangeAspect="1"/>
                    </pic:cNvPicPr>
                  </pic:nvPicPr>
                  <pic:blipFill>
                    <a:blip r:embed="rId5"/>
                    <a:srcRect/>
                    <a:stretch>
                      <a:fillRect/>
                    </a:stretch>
                  </pic:blipFill>
                  <pic:spPr>
                    <a:xfrm>
                      <a:off x="0" y="0"/>
                      <a:ext cx="7574280" cy="10714355"/>
                    </a:xfrm>
                    <a:prstGeom prst="rect">
                      <a:avLst/>
                    </a:prstGeom>
                    <a:ln>
                      <a:noFill/>
                    </a:ln>
                  </pic:spPr>
                </pic:pic>
              </a:graphicData>
            </a:graphic>
          </wp:anchor>
        </w:drawing>
      </w: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ind w:firstLine="422" w:firstLineChars="200"/>
        <w:rPr>
          <w:rFonts w:hint="eastAsia" w:ascii="宋体" w:hAnsi="宋体" w:eastAsia="宋体"/>
          <w:b/>
          <w:szCs w:val="21"/>
        </w:rPr>
      </w:pPr>
    </w:p>
    <w:p>
      <w:pPr>
        <w:keepNext w:val="0"/>
        <w:keepLines w:val="0"/>
        <w:pageBreakBefore w:val="0"/>
        <w:widowControl w:val="0"/>
        <w:kinsoku/>
        <w:wordWrap/>
        <w:overflowPunct/>
        <w:topLinePunct w:val="0"/>
        <w:autoSpaceDE/>
        <w:autoSpaceDN/>
        <w:bidi w:val="0"/>
        <w:adjustRightInd/>
        <w:snapToGrid/>
        <w:spacing w:line="440" w:lineRule="exact"/>
        <w:ind w:firstLine="422" w:firstLineChars="200"/>
        <w:textAlignment w:val="auto"/>
        <w:rPr>
          <w:rFonts w:hint="eastAsia" w:ascii="仿宋_GB2312" w:hAnsi="仿宋_GB2312" w:eastAsia="仿宋_GB2312" w:cs="仿宋_GB2312"/>
          <w:b/>
          <w:szCs w:val="21"/>
        </w:rPr>
      </w:pPr>
      <w:r>
        <w:rPr>
          <w:rFonts w:hint="eastAsia" w:ascii="仿宋_GB2312" w:hAnsi="仿宋_GB2312" w:eastAsia="仿宋_GB2312" w:cs="仿宋_GB2312"/>
          <w:b/>
          <w:szCs w:val="21"/>
        </w:rPr>
        <w:t>一、企业概况</w:t>
      </w:r>
    </w:p>
    <w:p>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仿宋_GB2312" w:hAnsi="仿宋_GB2312" w:eastAsia="仿宋_GB2312" w:cs="仿宋_GB2312"/>
          <w:szCs w:val="21"/>
        </w:rPr>
      </w:pPr>
      <w:r>
        <w:rPr>
          <w:rFonts w:hint="eastAsia" w:ascii="仿宋_GB2312" w:hAnsi="仿宋_GB2312" w:eastAsia="仿宋_GB2312" w:cs="仿宋_GB2312"/>
          <w:szCs w:val="21"/>
        </w:rPr>
        <w:t>江苏苏恒教育科技（集团）有限公司（以下简称：苏恒集团）成立于2020年，公司从事航空、城市轨道交通等特色专业的中高等职业教育,是国内高端就业教育的开拓者。集团始终坚持先走品牌发展之路,遵循严格的合沟通与共享模式,致力于构建“教学、培训、就业指导、人才输送”四位一体的人力资源产业链系统。愿与合作院校、用人单位共同发展全力打造国内教育领先品牌。对社会，企业提供对口人才，努力解决劳动力不足不专的现状。</w:t>
      </w:r>
    </w:p>
    <w:p>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仿宋_GB2312" w:hAnsi="仿宋_GB2312" w:eastAsia="仿宋_GB2312" w:cs="仿宋_GB2312"/>
          <w:szCs w:val="21"/>
        </w:rPr>
      </w:pPr>
      <w:r>
        <w:rPr>
          <w:rFonts w:hint="eastAsia" w:ascii="仿宋_GB2312" w:hAnsi="仿宋_GB2312" w:eastAsia="仿宋_GB2312" w:cs="仿宋_GB2312"/>
          <w:szCs w:val="21"/>
        </w:rPr>
        <w:t>公司自成立以来，全国各大中小城市已开设二十多家分公司或办事处，与各领域优秀企业达成战略合作协议，具备丰富的项目管理经验，拥有各类突发事件应急处理预案，服务对象众多，包括：正式员工、非正式合同工、短期临时工、实习生等。在与学校合作方面建立多种合作模式，如共建实训基地、工学交替、企业订单班等，并有多个成功案例。</w:t>
      </w:r>
    </w:p>
    <w:p>
      <w:pPr>
        <w:ind w:left="2310" w:hanging="2310" w:hangingChars="1100"/>
        <w:jc w:val="left"/>
        <w:rPr>
          <w:rFonts w:ascii="宋体" w:hAnsi="宋体" w:eastAsia="宋体"/>
          <w:b/>
          <w:szCs w:val="21"/>
        </w:rPr>
      </w:pPr>
      <w:r>
        <w:rPr>
          <w:rFonts w:ascii="宋体" w:hAnsi="宋体" w:eastAsia="宋体"/>
          <w:szCs w:val="21"/>
        </w:rPr>
        <w:drawing>
          <wp:inline distT="0" distB="0" distL="0" distR="0">
            <wp:extent cx="2720340" cy="2082800"/>
            <wp:effectExtent l="0" t="0" r="381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2720340" cy="2082800"/>
                    </a:xfrm>
                    <a:prstGeom prst="rect">
                      <a:avLst/>
                    </a:prstGeom>
                    <a:noFill/>
                    <a:ln>
                      <a:noFill/>
                    </a:ln>
                  </pic:spPr>
                </pic:pic>
              </a:graphicData>
            </a:graphic>
          </wp:inline>
        </w:drawing>
      </w:r>
      <w:r>
        <w:rPr>
          <w:rFonts w:ascii="宋体" w:hAnsi="宋体" w:eastAsia="宋体"/>
          <w:b/>
          <w:szCs w:val="21"/>
        </w:rPr>
        <w:t xml:space="preserve"> </w:t>
      </w:r>
      <w:r>
        <w:rPr>
          <w:rFonts w:ascii="宋体" w:hAnsi="宋体" w:eastAsia="宋体"/>
          <w:szCs w:val="21"/>
        </w:rPr>
        <w:drawing>
          <wp:inline distT="0" distB="0" distL="0" distR="0">
            <wp:extent cx="2796540" cy="2082165"/>
            <wp:effectExtent l="0" t="0" r="381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796540" cy="2082165"/>
                    </a:xfrm>
                    <a:prstGeom prst="rect">
                      <a:avLst/>
                    </a:prstGeom>
                    <a:noFill/>
                    <a:ln>
                      <a:noFill/>
                    </a:ln>
                  </pic:spPr>
                </pic:pic>
              </a:graphicData>
            </a:graphic>
          </wp:inline>
        </w:drawing>
      </w:r>
    </w:p>
    <w:p>
      <w:pPr>
        <w:ind w:left="2310" w:hanging="2310" w:hangingChars="1100"/>
        <w:jc w:val="left"/>
        <w:rPr>
          <w:rFonts w:ascii="宋体" w:hAnsi="宋体" w:eastAsia="宋体"/>
          <w:b/>
          <w:szCs w:val="21"/>
        </w:rPr>
      </w:pPr>
      <w:r>
        <w:rPr>
          <w:rFonts w:ascii="宋体" w:hAnsi="宋体" w:eastAsia="宋体"/>
          <w:szCs w:val="21"/>
        </w:rPr>
        <w:drawing>
          <wp:inline distT="0" distB="0" distL="0" distR="0">
            <wp:extent cx="2720340" cy="2042160"/>
            <wp:effectExtent l="0" t="0" r="381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720340" cy="2042160"/>
                    </a:xfrm>
                    <a:prstGeom prst="rect">
                      <a:avLst/>
                    </a:prstGeom>
                    <a:noFill/>
                    <a:ln>
                      <a:noFill/>
                    </a:ln>
                  </pic:spPr>
                </pic:pic>
              </a:graphicData>
            </a:graphic>
          </wp:inline>
        </w:drawing>
      </w:r>
      <w:r>
        <w:rPr>
          <w:rFonts w:hint="eastAsia" w:ascii="宋体" w:hAnsi="宋体" w:eastAsia="宋体"/>
          <w:b/>
          <w:szCs w:val="21"/>
        </w:rPr>
        <w:t xml:space="preserve"> </w:t>
      </w:r>
      <w:r>
        <w:rPr>
          <w:rFonts w:ascii="宋体" w:hAnsi="宋体" w:eastAsia="宋体"/>
          <w:szCs w:val="21"/>
        </w:rPr>
        <w:drawing>
          <wp:inline distT="0" distB="0" distL="0" distR="0">
            <wp:extent cx="2796540" cy="2042160"/>
            <wp:effectExtent l="0" t="0" r="381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796540" cy="2042160"/>
                    </a:xfrm>
                    <a:prstGeom prst="rect">
                      <a:avLst/>
                    </a:prstGeom>
                    <a:noFill/>
                    <a:ln>
                      <a:noFill/>
                    </a:ln>
                  </pic:spPr>
                </pic:pic>
              </a:graphicData>
            </a:graphic>
          </wp:inline>
        </w:drawing>
      </w:r>
    </w:p>
    <w:p>
      <w:pPr>
        <w:jc w:val="center"/>
        <w:rPr>
          <w:rFonts w:ascii="宋体" w:hAnsi="宋体" w:eastAsia="宋体"/>
          <w:b/>
          <w:szCs w:val="21"/>
        </w:rPr>
      </w:pPr>
      <w:r>
        <w:rPr>
          <w:rFonts w:hint="eastAsia" w:ascii="宋体" w:hAnsi="宋体" w:eastAsia="宋体"/>
          <w:b/>
          <w:szCs w:val="21"/>
        </w:rPr>
        <w:t xml:space="preserve">图1 </w:t>
      </w:r>
      <w:r>
        <w:rPr>
          <w:rFonts w:ascii="宋体" w:hAnsi="宋体" w:eastAsia="宋体"/>
          <w:b/>
          <w:szCs w:val="21"/>
        </w:rPr>
        <w:t xml:space="preserve"> </w:t>
      </w:r>
      <w:r>
        <w:rPr>
          <w:rFonts w:hint="eastAsia" w:ascii="宋体" w:hAnsi="宋体" w:eastAsia="宋体"/>
          <w:b/>
          <w:szCs w:val="21"/>
        </w:rPr>
        <w:t>苏恒集团公司实景图</w:t>
      </w:r>
    </w:p>
    <w:p>
      <w:pPr>
        <w:ind w:firstLine="422" w:firstLineChars="200"/>
        <w:rPr>
          <w:rFonts w:hint="eastAsia" w:ascii="仿宋_GB2312" w:hAnsi="仿宋_GB2312" w:eastAsia="仿宋_GB2312" w:cs="仿宋_GB2312"/>
          <w:b/>
          <w:szCs w:val="21"/>
        </w:rPr>
      </w:pPr>
      <w:r>
        <w:rPr>
          <w:rFonts w:hint="eastAsia" w:ascii="仿宋_GB2312" w:hAnsi="仿宋_GB2312" w:eastAsia="仿宋_GB2312" w:cs="仿宋_GB2312"/>
          <w:b/>
          <w:szCs w:val="21"/>
        </w:rPr>
        <w:t>二、参与办学</w:t>
      </w:r>
    </w:p>
    <w:p>
      <w:pPr>
        <w:spacing w:line="36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为响应国务院关于加强培养应用型人才的指导精神，在应用型研发人才培养模式、实践项目、实验室共建、实习实训基地建设等方面进行探索与创新，实行校企联合，有效利用校企之间的优势资源，达到共同培养适应新时代高素质应用型人才的目标。苏恒集团与我校于2021年，形成战略合作，专业采用工学结合、双主体育人的培养模式，签订校企合作协议，企业投资建立校内实训基地，共同制定并实施人才培养方案，并提供高铁乘务员、高铁站票务、安检、乘警等工学交替的实习岗位。学生在校完成教学计划规定全部课程后到用人单位进行为期半年至一年的顶岗实习，学生毕业后直接在合作企业就业，确保学生培养目标与企业人才需求标准“零”距离对接。</w:t>
      </w:r>
    </w:p>
    <w:p>
      <w:pPr>
        <w:ind w:firstLine="422" w:firstLineChars="200"/>
        <w:rPr>
          <w:rFonts w:hint="eastAsia" w:ascii="仿宋_GB2312" w:hAnsi="仿宋_GB2312" w:eastAsia="仿宋_GB2312" w:cs="仿宋_GB2312"/>
          <w:b/>
          <w:szCs w:val="21"/>
        </w:rPr>
      </w:pPr>
      <w:r>
        <w:rPr>
          <w:rFonts w:hint="eastAsia" w:ascii="仿宋_GB2312" w:hAnsi="仿宋_GB2312" w:eastAsia="仿宋_GB2312" w:cs="仿宋_GB2312"/>
          <w:b/>
          <w:szCs w:val="21"/>
        </w:rPr>
        <w:t>三、资源投入</w:t>
      </w:r>
    </w:p>
    <w:p>
      <w:pPr>
        <w:spacing w:line="360" w:lineRule="auto"/>
        <w:ind w:firstLine="422" w:firstLineChars="200"/>
        <w:rPr>
          <w:rFonts w:hint="eastAsia" w:ascii="仿宋_GB2312" w:hAnsi="仿宋_GB2312" w:eastAsia="仿宋_GB2312" w:cs="仿宋_GB2312"/>
          <w:b/>
          <w:bCs/>
          <w:szCs w:val="21"/>
        </w:rPr>
      </w:pPr>
      <w:r>
        <w:rPr>
          <w:rFonts w:hint="eastAsia" w:ascii="仿宋_GB2312" w:hAnsi="仿宋_GB2312" w:eastAsia="仿宋_GB2312" w:cs="仿宋_GB2312"/>
          <w:b/>
          <w:bCs/>
          <w:szCs w:val="21"/>
        </w:rPr>
        <w:t>（一）校内实训基地建设</w:t>
      </w:r>
    </w:p>
    <w:p>
      <w:pPr>
        <w:spacing w:line="36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苏恒集团与我校达成战略合作协议，企业帮助学院建立高铁服务实训基地主要服务于高速铁路客运服务专业，满足客厢乘务员、餐吧乘务员、检票员、安检员的技能训练。该实训基地外形模拟了复兴号高铁车头车轮轨以上的部分，配备了驾驶舱内部、2排2+1布局一等座区、卫生间区、消防器材区、茶水炉区、门区、旅客屏蔽门、8排40个二等座区、餐车吧台、人工售票柜台、自助售票机、安检设备等。</w:t>
      </w:r>
    </w:p>
    <w:p>
      <w:pPr>
        <w:spacing w:line="360" w:lineRule="auto"/>
        <w:ind w:firstLine="420" w:firstLineChars="200"/>
        <w:rPr>
          <w:rFonts w:hint="eastAsia" w:ascii="仿宋_GB2312" w:hAnsi="仿宋_GB2312" w:eastAsia="仿宋_GB2312" w:cs="仿宋_GB2312"/>
          <w:szCs w:val="21"/>
        </w:rPr>
      </w:pPr>
      <w:bookmarkStart w:id="0" w:name="_Hlk118917466"/>
      <w:r>
        <w:rPr>
          <w:rFonts w:hint="eastAsia" w:ascii="仿宋_GB2312" w:hAnsi="仿宋_GB2312" w:eastAsia="仿宋_GB2312" w:cs="仿宋_GB2312"/>
          <w:szCs w:val="21"/>
        </w:rPr>
        <w:t>高铁服务实训基地</w:t>
      </w:r>
      <w:bookmarkEnd w:id="0"/>
      <w:r>
        <w:rPr>
          <w:rFonts w:hint="eastAsia" w:ascii="仿宋_GB2312" w:hAnsi="仿宋_GB2312" w:eastAsia="仿宋_GB2312" w:cs="仿宋_GB2312"/>
          <w:szCs w:val="21"/>
        </w:rPr>
        <w:t>主要承担《高铁客运服务流程训练》、《高铁设备操作与管理》、《高铁安全管理》等课程的实训任务，通过仿真的教学环境，训练学生熟悉高铁客舱内部的各种布局和结构、设备设施的操作方法、乘务服务流程、应急处置方法等；培养学生的服务操作技能、服务意识以及沟通能力；帮助学生从学校到就业的过渡，适应岗位需求。</w:t>
      </w:r>
    </w:p>
    <w:p>
      <w:pPr>
        <w:spacing w:line="360" w:lineRule="auto"/>
        <w:ind w:left="210" w:leftChars="100" w:firstLine="210" w:firstLineChars="100"/>
        <w:jc w:val="left"/>
        <w:rPr>
          <w:rFonts w:ascii="宋体" w:hAnsi="宋体" w:eastAsia="宋体"/>
          <w:szCs w:val="21"/>
        </w:rPr>
      </w:pPr>
      <w:r>
        <w:rPr>
          <w:rFonts w:ascii="宋体" w:hAnsi="宋体" w:eastAsia="宋体"/>
          <w:szCs w:val="21"/>
        </w:rPr>
        <w:drawing>
          <wp:inline distT="0" distB="0" distL="0" distR="0">
            <wp:extent cx="2611120" cy="1958340"/>
            <wp:effectExtent l="0" t="0" r="0" b="381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11120" cy="1958340"/>
                    </a:xfrm>
                    <a:prstGeom prst="rect">
                      <a:avLst/>
                    </a:prstGeom>
                  </pic:spPr>
                </pic:pic>
              </a:graphicData>
            </a:graphic>
          </wp:inline>
        </w:drawing>
      </w:r>
      <w:r>
        <w:rPr>
          <w:rFonts w:ascii="宋体" w:hAnsi="宋体" w:eastAsia="宋体"/>
          <w:szCs w:val="21"/>
        </w:rPr>
        <w:t xml:space="preserve"> </w:t>
      </w:r>
      <w:r>
        <w:rPr>
          <w:rFonts w:ascii="宋体" w:hAnsi="宋体" w:eastAsia="宋体"/>
          <w:szCs w:val="21"/>
        </w:rPr>
        <w:drawing>
          <wp:inline distT="0" distB="0" distL="0" distR="0">
            <wp:extent cx="2606040" cy="1954530"/>
            <wp:effectExtent l="0" t="0" r="3810" b="762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06040" cy="1954530"/>
                    </a:xfrm>
                    <a:prstGeom prst="rect">
                      <a:avLst/>
                    </a:prstGeom>
                  </pic:spPr>
                </pic:pic>
              </a:graphicData>
            </a:graphic>
          </wp:inline>
        </w:drawing>
      </w:r>
    </w:p>
    <w:p>
      <w:pPr>
        <w:spacing w:line="360" w:lineRule="auto"/>
        <w:ind w:left="210" w:leftChars="100" w:firstLine="210" w:firstLineChars="100"/>
        <w:jc w:val="left"/>
        <w:rPr>
          <w:rFonts w:ascii="宋体" w:hAnsi="宋体" w:eastAsia="宋体"/>
          <w:szCs w:val="21"/>
        </w:rPr>
      </w:pPr>
      <w:r>
        <w:rPr>
          <w:rFonts w:ascii="宋体" w:hAnsi="宋体" w:eastAsia="宋体"/>
          <w:szCs w:val="21"/>
        </w:rPr>
        <w:drawing>
          <wp:inline distT="0" distB="0" distL="0" distR="0">
            <wp:extent cx="2611120" cy="20193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11120" cy="2019300"/>
                    </a:xfrm>
                    <a:prstGeom prst="rect">
                      <a:avLst/>
                    </a:prstGeom>
                  </pic:spPr>
                </pic:pic>
              </a:graphicData>
            </a:graphic>
          </wp:inline>
        </w:drawing>
      </w:r>
      <w:r>
        <w:rPr>
          <w:rFonts w:ascii="宋体" w:hAnsi="宋体" w:eastAsia="宋体"/>
          <w:szCs w:val="21"/>
        </w:rPr>
        <w:t xml:space="preserve"> </w:t>
      </w:r>
      <w:r>
        <w:rPr>
          <w:rFonts w:ascii="宋体" w:hAnsi="宋体" w:eastAsia="宋体"/>
          <w:szCs w:val="21"/>
        </w:rPr>
        <w:drawing>
          <wp:inline distT="0" distB="0" distL="0" distR="0">
            <wp:extent cx="2606040" cy="2019300"/>
            <wp:effectExtent l="0" t="0" r="1016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06040" cy="2019300"/>
                    </a:xfrm>
                    <a:prstGeom prst="rect">
                      <a:avLst/>
                    </a:prstGeom>
                  </pic:spPr>
                </pic:pic>
              </a:graphicData>
            </a:graphic>
          </wp:inline>
        </w:drawing>
      </w:r>
    </w:p>
    <w:p>
      <w:pPr>
        <w:spacing w:line="360" w:lineRule="auto"/>
        <w:ind w:firstLine="422" w:firstLineChars="200"/>
        <w:jc w:val="center"/>
        <w:rPr>
          <w:rFonts w:ascii="宋体" w:hAnsi="宋体" w:eastAsia="宋体"/>
          <w:b/>
          <w:bCs/>
          <w:szCs w:val="21"/>
        </w:rPr>
      </w:pPr>
      <w:bookmarkStart w:id="1" w:name="_Hlk119851983"/>
      <w:r>
        <w:rPr>
          <w:rFonts w:hint="eastAsia" w:ascii="宋体" w:hAnsi="宋体" w:eastAsia="宋体"/>
          <w:b/>
          <w:bCs/>
          <w:szCs w:val="21"/>
        </w:rPr>
        <w:t>图2</w:t>
      </w:r>
      <w:r>
        <w:rPr>
          <w:rFonts w:ascii="宋体" w:hAnsi="宋体" w:eastAsia="宋体"/>
          <w:b/>
          <w:bCs/>
          <w:szCs w:val="21"/>
        </w:rPr>
        <w:t xml:space="preserve"> </w:t>
      </w:r>
      <w:r>
        <w:rPr>
          <w:rFonts w:hint="eastAsia" w:ascii="宋体" w:hAnsi="宋体" w:eastAsia="宋体"/>
          <w:b/>
          <w:bCs/>
          <w:szCs w:val="21"/>
        </w:rPr>
        <w:t>高铁服务实训基地</w:t>
      </w:r>
    </w:p>
    <w:bookmarkEnd w:id="1"/>
    <w:p>
      <w:pPr>
        <w:keepNext w:val="0"/>
        <w:keepLines w:val="0"/>
        <w:pageBreakBefore w:val="0"/>
        <w:widowControl w:val="0"/>
        <w:kinsoku/>
        <w:wordWrap/>
        <w:overflowPunct/>
        <w:topLinePunct w:val="0"/>
        <w:autoSpaceDE/>
        <w:autoSpaceDN/>
        <w:bidi w:val="0"/>
        <w:adjustRightInd/>
        <w:snapToGrid/>
        <w:spacing w:line="440" w:lineRule="exact"/>
        <w:ind w:firstLine="422" w:firstLineChars="200"/>
        <w:textAlignment w:val="auto"/>
        <w:rPr>
          <w:rFonts w:hint="eastAsia" w:ascii="仿宋_GB2312" w:hAnsi="仿宋_GB2312" w:eastAsia="仿宋_GB2312" w:cs="仿宋_GB2312"/>
          <w:b/>
          <w:bCs/>
          <w:szCs w:val="21"/>
        </w:rPr>
      </w:pPr>
      <w:r>
        <w:rPr>
          <w:rFonts w:hint="eastAsia" w:ascii="仿宋_GB2312" w:hAnsi="仿宋_GB2312" w:eastAsia="仿宋_GB2312" w:cs="仿宋_GB2312"/>
          <w:b/>
          <w:bCs/>
          <w:szCs w:val="21"/>
        </w:rPr>
        <w:t>（二）师资资源投入</w:t>
      </w:r>
    </w:p>
    <w:p>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仿宋_GB2312" w:hAnsi="仿宋_GB2312" w:eastAsia="仿宋_GB2312" w:cs="仿宋_GB2312"/>
          <w:szCs w:val="21"/>
        </w:rPr>
      </w:pPr>
      <w:r>
        <w:rPr>
          <w:rFonts w:hint="eastAsia" w:ascii="仿宋_GB2312" w:hAnsi="仿宋_GB2312" w:eastAsia="仿宋_GB2312" w:cs="仿宋_GB2312"/>
          <w:szCs w:val="21"/>
        </w:rPr>
        <w:t>根据校企合作协议，苏恒集团选派实践经验丰富的企业员工承担《高速铁路客运组织》、《高铁客运服务礼仪》等授课任务；并安排相关人员来校开展培训，帮助我校师资掌握实训基地的设备使用。</w:t>
      </w:r>
    </w:p>
    <w:p>
      <w:pPr>
        <w:spacing w:line="360" w:lineRule="auto"/>
        <w:jc w:val="center"/>
        <w:rPr>
          <w:rFonts w:ascii="宋体" w:hAnsi="宋体" w:eastAsia="宋体"/>
          <w:szCs w:val="21"/>
        </w:rPr>
      </w:pPr>
      <w:r>
        <w:rPr>
          <w:rFonts w:ascii="宋体" w:hAnsi="宋体" w:eastAsia="宋体"/>
          <w:szCs w:val="21"/>
        </w:rPr>
        <w:drawing>
          <wp:inline distT="0" distB="0" distL="0" distR="0">
            <wp:extent cx="2416810" cy="2143760"/>
            <wp:effectExtent l="0" t="0" r="8890"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2416810" cy="2143760"/>
                    </a:xfrm>
                    <a:prstGeom prst="rect">
                      <a:avLst/>
                    </a:prstGeom>
                    <a:noFill/>
                    <a:ln>
                      <a:noFill/>
                    </a:ln>
                  </pic:spPr>
                </pic:pic>
              </a:graphicData>
            </a:graphic>
          </wp:inline>
        </w:drawing>
      </w:r>
      <w:r>
        <w:rPr>
          <w:rFonts w:hint="eastAsia" w:ascii="宋体" w:hAnsi="宋体" w:eastAsia="宋体"/>
          <w:szCs w:val="21"/>
        </w:rPr>
        <w:t xml:space="preserve"> </w:t>
      </w:r>
      <w:r>
        <w:rPr>
          <w:rFonts w:ascii="宋体" w:hAnsi="宋体" w:eastAsia="宋体"/>
          <w:szCs w:val="21"/>
        </w:rPr>
        <w:drawing>
          <wp:inline distT="0" distB="0" distL="0" distR="0">
            <wp:extent cx="2523490" cy="2130425"/>
            <wp:effectExtent l="0" t="0" r="3810" b="31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523490" cy="2130425"/>
                    </a:xfrm>
                    <a:prstGeom prst="rect">
                      <a:avLst/>
                    </a:prstGeom>
                    <a:noFill/>
                    <a:ln>
                      <a:noFill/>
                    </a:ln>
                  </pic:spPr>
                </pic:pic>
              </a:graphicData>
            </a:graphic>
          </wp:inline>
        </w:drawing>
      </w:r>
    </w:p>
    <w:p>
      <w:pPr>
        <w:spacing w:line="360" w:lineRule="auto"/>
        <w:ind w:firstLine="422" w:firstLineChars="200"/>
        <w:jc w:val="center"/>
        <w:rPr>
          <w:rFonts w:ascii="宋体" w:hAnsi="宋体" w:eastAsia="宋体"/>
          <w:b/>
          <w:bCs/>
          <w:szCs w:val="21"/>
        </w:rPr>
      </w:pPr>
      <w:r>
        <w:rPr>
          <w:rFonts w:hint="eastAsia" w:ascii="宋体" w:hAnsi="宋体" w:eastAsia="宋体"/>
          <w:b/>
          <w:bCs/>
          <w:szCs w:val="21"/>
        </w:rPr>
        <w:t>图</w:t>
      </w:r>
      <w:r>
        <w:rPr>
          <w:rFonts w:ascii="宋体" w:hAnsi="宋体" w:eastAsia="宋体"/>
          <w:b/>
          <w:bCs/>
          <w:szCs w:val="21"/>
        </w:rPr>
        <w:t xml:space="preserve">3 </w:t>
      </w:r>
      <w:r>
        <w:rPr>
          <w:rFonts w:hint="eastAsia" w:ascii="宋体" w:hAnsi="宋体" w:eastAsia="宋体"/>
          <w:b/>
          <w:bCs/>
          <w:szCs w:val="21"/>
        </w:rPr>
        <w:t>实训基地设备使用培训</w:t>
      </w:r>
    </w:p>
    <w:p>
      <w:pPr>
        <w:keepNext w:val="0"/>
        <w:keepLines w:val="0"/>
        <w:pageBreakBefore w:val="0"/>
        <w:widowControl w:val="0"/>
        <w:kinsoku/>
        <w:wordWrap/>
        <w:overflowPunct/>
        <w:topLinePunct w:val="0"/>
        <w:autoSpaceDE/>
        <w:autoSpaceDN/>
        <w:bidi w:val="0"/>
        <w:adjustRightInd/>
        <w:snapToGrid/>
        <w:spacing w:line="440" w:lineRule="exact"/>
        <w:ind w:firstLine="422" w:firstLineChars="200"/>
        <w:textAlignment w:val="auto"/>
        <w:rPr>
          <w:rFonts w:hint="eastAsia" w:ascii="仿宋_GB2312" w:hAnsi="仿宋_GB2312" w:eastAsia="仿宋_GB2312" w:cs="仿宋_GB2312"/>
          <w:b/>
          <w:szCs w:val="21"/>
        </w:rPr>
      </w:pPr>
      <w:r>
        <w:rPr>
          <w:rFonts w:hint="eastAsia" w:ascii="仿宋_GB2312" w:hAnsi="仿宋_GB2312" w:eastAsia="仿宋_GB2312" w:cs="仿宋_GB2312"/>
          <w:b/>
          <w:szCs w:val="21"/>
        </w:rPr>
        <w:t>四、参与教育教学改革</w:t>
      </w:r>
    </w:p>
    <w:p>
      <w:pPr>
        <w:keepNext w:val="0"/>
        <w:keepLines w:val="0"/>
        <w:pageBreakBefore w:val="0"/>
        <w:widowControl w:val="0"/>
        <w:kinsoku/>
        <w:wordWrap/>
        <w:overflowPunct/>
        <w:topLinePunct w:val="0"/>
        <w:autoSpaceDE/>
        <w:autoSpaceDN/>
        <w:bidi w:val="0"/>
        <w:adjustRightInd/>
        <w:snapToGrid/>
        <w:spacing w:line="440" w:lineRule="exact"/>
        <w:ind w:firstLine="422" w:firstLineChars="200"/>
        <w:textAlignment w:val="auto"/>
        <w:rPr>
          <w:rFonts w:hint="eastAsia" w:ascii="仿宋_GB2312" w:hAnsi="仿宋_GB2312" w:eastAsia="仿宋_GB2312" w:cs="仿宋_GB2312"/>
          <w:b/>
          <w:bCs/>
          <w:szCs w:val="21"/>
        </w:rPr>
      </w:pPr>
      <w:r>
        <w:rPr>
          <w:rFonts w:hint="eastAsia" w:ascii="仿宋_GB2312" w:hAnsi="仿宋_GB2312" w:eastAsia="仿宋_GB2312" w:cs="仿宋_GB2312"/>
          <w:b/>
          <w:bCs/>
          <w:szCs w:val="21"/>
        </w:rPr>
        <w:t>（一）参与制定人才培养方案</w:t>
      </w:r>
    </w:p>
    <w:p>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仿宋_GB2312" w:hAnsi="仿宋_GB2312" w:eastAsia="仿宋_GB2312" w:cs="仿宋_GB2312"/>
          <w:szCs w:val="21"/>
        </w:rPr>
      </w:pPr>
      <w:r>
        <w:rPr>
          <w:rFonts w:hint="eastAsia" w:ascii="仿宋_GB2312" w:hAnsi="仿宋_GB2312" w:eastAsia="仿宋_GB2312" w:cs="仿宋_GB2312"/>
          <w:szCs w:val="21"/>
        </w:rPr>
        <w:t>在以就业为导向、面向社会、面向市场的办学原则下，苏恒集团积极参与高速铁路客运服务专业的人才培养方案设计与修订，根据企业用人岗位的职业要求，设置课程体系和教学内容，根据对应岗位(群)应具备的综合职业能力所需具备的知识和技能要素和要求，构建课程模块。</w:t>
      </w:r>
    </w:p>
    <w:p>
      <w:pPr>
        <w:keepNext w:val="0"/>
        <w:keepLines w:val="0"/>
        <w:pageBreakBefore w:val="0"/>
        <w:widowControl w:val="0"/>
        <w:kinsoku/>
        <w:wordWrap/>
        <w:overflowPunct/>
        <w:topLinePunct w:val="0"/>
        <w:autoSpaceDE/>
        <w:autoSpaceDN/>
        <w:bidi w:val="0"/>
        <w:adjustRightInd/>
        <w:snapToGrid/>
        <w:spacing w:line="440" w:lineRule="exact"/>
        <w:ind w:firstLine="422" w:firstLineChars="200"/>
        <w:textAlignment w:val="auto"/>
        <w:rPr>
          <w:rFonts w:hint="eastAsia" w:ascii="仿宋_GB2312" w:hAnsi="仿宋_GB2312" w:eastAsia="仿宋_GB2312" w:cs="仿宋_GB2312"/>
          <w:b/>
          <w:szCs w:val="21"/>
        </w:rPr>
      </w:pPr>
      <w:r>
        <w:rPr>
          <w:rFonts w:hint="eastAsia" w:ascii="仿宋_GB2312" w:hAnsi="仿宋_GB2312" w:eastAsia="仿宋_GB2312" w:cs="仿宋_GB2312"/>
          <w:b/>
          <w:szCs w:val="21"/>
        </w:rPr>
        <w:t>（二）承担教学任务</w:t>
      </w:r>
    </w:p>
    <w:p>
      <w:pPr>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ascii="仿宋_GB2312" w:hAnsi="仿宋_GB2312" w:eastAsia="仿宋_GB2312" w:cs="仿宋_GB2312"/>
          <w:szCs w:val="21"/>
        </w:rPr>
      </w:pPr>
      <w:r>
        <w:rPr>
          <w:rFonts w:hint="eastAsia" w:ascii="仿宋_GB2312" w:hAnsi="仿宋_GB2312" w:eastAsia="仿宋_GB2312" w:cs="仿宋_GB2312"/>
          <w:szCs w:val="21"/>
        </w:rPr>
        <w:t>企业选派教学能力强的在岗员工，进入学校，帮助完成专业核心课程的教学任务，实践经验丰富、专业技能娴熟的兼职教师，将新技术、新经验融入教学中去，保障教学内容的前沿性与实用性，提高学生的实际动手能力，补充了书本知识，弥补我校师资在实操教学上的不足。</w:t>
      </w:r>
    </w:p>
    <w:p>
      <w:pPr>
        <w:spacing w:line="360" w:lineRule="auto"/>
        <w:ind w:firstLine="420" w:firstLineChars="200"/>
        <w:jc w:val="center"/>
        <w:rPr>
          <w:rFonts w:ascii="宋体" w:hAnsi="宋体" w:eastAsia="宋体"/>
          <w:szCs w:val="21"/>
        </w:rPr>
      </w:pPr>
      <w:r>
        <w:rPr>
          <w:rFonts w:ascii="宋体" w:hAnsi="宋体" w:eastAsia="宋体"/>
          <w:szCs w:val="21"/>
        </w:rPr>
        <w:drawing>
          <wp:inline distT="0" distB="0" distL="0" distR="0">
            <wp:extent cx="1720850" cy="21145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1741406" cy="2139738"/>
                    </a:xfrm>
                    <a:prstGeom prst="rect">
                      <a:avLst/>
                    </a:prstGeom>
                    <a:noFill/>
                    <a:ln>
                      <a:noFill/>
                    </a:ln>
                  </pic:spPr>
                </pic:pic>
              </a:graphicData>
            </a:graphic>
          </wp:inline>
        </w:drawing>
      </w:r>
    </w:p>
    <w:p>
      <w:pPr>
        <w:spacing w:line="360" w:lineRule="auto"/>
        <w:ind w:firstLine="422" w:firstLineChars="200"/>
        <w:jc w:val="center"/>
        <w:rPr>
          <w:rFonts w:ascii="宋体" w:hAnsi="宋体" w:eastAsia="宋体"/>
          <w:b/>
          <w:bCs/>
          <w:szCs w:val="21"/>
        </w:rPr>
      </w:pPr>
      <w:r>
        <w:rPr>
          <w:rFonts w:hint="eastAsia" w:ascii="宋体" w:hAnsi="宋体" w:eastAsia="宋体"/>
          <w:b/>
          <w:bCs/>
          <w:szCs w:val="21"/>
        </w:rPr>
        <w:t>图</w:t>
      </w:r>
      <w:r>
        <w:rPr>
          <w:rFonts w:ascii="宋体" w:hAnsi="宋体" w:eastAsia="宋体"/>
          <w:b/>
          <w:bCs/>
          <w:szCs w:val="21"/>
        </w:rPr>
        <w:t xml:space="preserve">4 </w:t>
      </w:r>
      <w:r>
        <w:rPr>
          <w:rFonts w:hint="eastAsia" w:ascii="宋体" w:hAnsi="宋体" w:eastAsia="宋体"/>
          <w:b/>
          <w:bCs/>
          <w:szCs w:val="21"/>
        </w:rPr>
        <w:t>企业导师授课中</w:t>
      </w:r>
    </w:p>
    <w:p>
      <w:pPr>
        <w:spacing w:line="360" w:lineRule="auto"/>
        <w:ind w:firstLine="422" w:firstLineChars="200"/>
        <w:rPr>
          <w:rFonts w:hint="eastAsia" w:ascii="仿宋_GB2312" w:hAnsi="仿宋_GB2312" w:eastAsia="仿宋_GB2312" w:cs="仿宋_GB2312"/>
          <w:b/>
          <w:bCs/>
          <w:szCs w:val="21"/>
        </w:rPr>
      </w:pPr>
      <w:r>
        <w:rPr>
          <w:rFonts w:hint="eastAsia" w:ascii="仿宋_GB2312" w:hAnsi="仿宋_GB2312" w:eastAsia="仿宋_GB2312" w:cs="仿宋_GB2312"/>
          <w:b/>
          <w:bCs/>
          <w:szCs w:val="21"/>
        </w:rPr>
        <w:t>（三）参与教材开发</w:t>
      </w:r>
    </w:p>
    <w:p>
      <w:pPr>
        <w:spacing w:line="36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为满足教学需要，校企合作编写活页教材，共同开发高铁核心课程的系列教材，企业与兼职老师提供岗位培训教材、岗位规范等资料，并负责实践与实训部分内容的编写，内容更加贴近就业岗位的需求。</w:t>
      </w:r>
    </w:p>
    <w:p>
      <w:pPr>
        <w:spacing w:line="360" w:lineRule="auto"/>
        <w:ind w:firstLine="422" w:firstLineChars="200"/>
        <w:rPr>
          <w:rFonts w:hint="eastAsia" w:ascii="仿宋_GB2312" w:hAnsi="仿宋_GB2312" w:eastAsia="仿宋_GB2312" w:cs="仿宋_GB2312"/>
          <w:b/>
          <w:bCs/>
          <w:szCs w:val="21"/>
        </w:rPr>
      </w:pPr>
      <w:r>
        <w:rPr>
          <w:rFonts w:hint="eastAsia" w:ascii="仿宋_GB2312" w:hAnsi="仿宋_GB2312" w:eastAsia="仿宋_GB2312" w:cs="仿宋_GB2312"/>
          <w:b/>
          <w:bCs/>
          <w:szCs w:val="21"/>
        </w:rPr>
        <w:t>（四）配合开展校外实践教学活动</w:t>
      </w:r>
    </w:p>
    <w:p>
      <w:pPr>
        <w:spacing w:line="36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企业积极提供学生校外实践岗位，包括轨道乘服员、轨道乘警、高铁站票务、安检员等，组织学生强化训练，保障顺利进入实训岗位，并积极配合学校对就业学生在岗的表现跟踪管理。</w:t>
      </w:r>
    </w:p>
    <w:p>
      <w:pPr>
        <w:ind w:firstLine="422" w:firstLineChars="200"/>
        <w:rPr>
          <w:rFonts w:hint="eastAsia" w:ascii="仿宋_GB2312" w:hAnsi="仿宋_GB2312" w:eastAsia="仿宋_GB2312" w:cs="仿宋_GB2312"/>
          <w:b/>
          <w:szCs w:val="21"/>
        </w:rPr>
      </w:pPr>
      <w:r>
        <w:rPr>
          <w:rFonts w:hint="eastAsia" w:ascii="仿宋_GB2312" w:hAnsi="仿宋_GB2312" w:eastAsia="仿宋_GB2312" w:cs="仿宋_GB2312"/>
          <w:b/>
          <w:szCs w:val="21"/>
        </w:rPr>
        <w:t>五、助推企业发展</w:t>
      </w:r>
    </w:p>
    <w:p>
      <w:pPr>
        <w:spacing w:line="360" w:lineRule="auto"/>
        <w:ind w:firstLine="422" w:firstLineChars="200"/>
        <w:rPr>
          <w:rFonts w:hint="eastAsia" w:ascii="仿宋_GB2312" w:hAnsi="仿宋_GB2312" w:eastAsia="仿宋_GB2312" w:cs="仿宋_GB2312"/>
          <w:b/>
          <w:bCs/>
          <w:szCs w:val="21"/>
        </w:rPr>
      </w:pPr>
      <w:r>
        <w:rPr>
          <w:rFonts w:hint="eastAsia" w:ascii="仿宋_GB2312" w:hAnsi="仿宋_GB2312" w:eastAsia="仿宋_GB2312" w:cs="仿宋_GB2312"/>
          <w:b/>
          <w:bCs/>
          <w:szCs w:val="21"/>
        </w:rPr>
        <w:t>（一）人才储备</w:t>
      </w:r>
    </w:p>
    <w:p>
      <w:pPr>
        <w:spacing w:line="36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作为一个人力资源公司，高素质、高技能的人才储备非常重要。学校会根据企业的需要采取相应的教学模式进行培养企业所需要的人才，帮助企业培养紧缺人才和储备优秀的后备资源。参与到学校的人才培养体系中去，使得学生能够在毕业时达到其岗位要求，从而有效地降低了企业的人力资源成本。</w:t>
      </w:r>
    </w:p>
    <w:p>
      <w:pPr>
        <w:spacing w:line="360" w:lineRule="auto"/>
        <w:ind w:firstLine="422" w:firstLineChars="200"/>
        <w:rPr>
          <w:rFonts w:hint="eastAsia" w:ascii="仿宋_GB2312" w:hAnsi="仿宋_GB2312" w:eastAsia="仿宋_GB2312" w:cs="仿宋_GB2312"/>
          <w:b/>
          <w:bCs/>
          <w:szCs w:val="21"/>
        </w:rPr>
      </w:pPr>
      <w:r>
        <w:rPr>
          <w:rFonts w:hint="eastAsia" w:ascii="仿宋_GB2312" w:hAnsi="仿宋_GB2312" w:eastAsia="仿宋_GB2312" w:cs="仿宋_GB2312"/>
          <w:b/>
          <w:bCs/>
          <w:szCs w:val="21"/>
        </w:rPr>
        <w:t>（二）完善校企共建模式</w:t>
      </w:r>
    </w:p>
    <w:p>
      <w:pPr>
        <w:spacing w:line="36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在与我校的合作过程中，苏恒集团也在不断摸索与完善校企共建的模式，为企业以后发展提供宝贵的经验，与我校的合作，已经成为企业的成功案例。</w:t>
      </w:r>
    </w:p>
    <w:p>
      <w:pPr>
        <w:spacing w:line="360" w:lineRule="auto"/>
        <w:jc w:val="center"/>
        <w:rPr>
          <w:rFonts w:ascii="宋体" w:hAnsi="宋体" w:eastAsia="宋体"/>
          <w:szCs w:val="21"/>
        </w:rPr>
      </w:pPr>
      <w:r>
        <w:rPr>
          <w:rFonts w:ascii="宋体" w:hAnsi="宋体" w:eastAsia="宋体"/>
          <w:szCs w:val="21"/>
        </w:rPr>
        <w:drawing>
          <wp:inline distT="0" distB="0" distL="0" distR="0">
            <wp:extent cx="5159375" cy="2720340"/>
            <wp:effectExtent l="0" t="0" r="3175" b="381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7"/>
                    <a:stretch>
                      <a:fillRect/>
                    </a:stretch>
                  </pic:blipFill>
                  <pic:spPr>
                    <a:xfrm>
                      <a:off x="0" y="0"/>
                      <a:ext cx="5162956" cy="2722169"/>
                    </a:xfrm>
                    <a:prstGeom prst="rect">
                      <a:avLst/>
                    </a:prstGeom>
                  </pic:spPr>
                </pic:pic>
              </a:graphicData>
            </a:graphic>
          </wp:inline>
        </w:drawing>
      </w:r>
    </w:p>
    <w:p>
      <w:pPr>
        <w:spacing w:line="360" w:lineRule="auto"/>
        <w:ind w:firstLine="422" w:firstLineChars="200"/>
        <w:jc w:val="center"/>
        <w:rPr>
          <w:rFonts w:ascii="宋体" w:hAnsi="宋体" w:eastAsia="宋体"/>
          <w:b/>
          <w:bCs/>
          <w:szCs w:val="21"/>
        </w:rPr>
      </w:pPr>
      <w:r>
        <w:rPr>
          <w:rFonts w:hint="eastAsia" w:ascii="宋体" w:hAnsi="宋体" w:eastAsia="宋体"/>
          <w:b/>
          <w:bCs/>
          <w:szCs w:val="21"/>
        </w:rPr>
        <w:t>图</w:t>
      </w:r>
      <w:r>
        <w:rPr>
          <w:rFonts w:ascii="宋体" w:hAnsi="宋体" w:eastAsia="宋体"/>
          <w:b/>
          <w:bCs/>
          <w:szCs w:val="21"/>
        </w:rPr>
        <w:t xml:space="preserve">5 </w:t>
      </w:r>
      <w:r>
        <w:rPr>
          <w:rFonts w:hint="eastAsia" w:ascii="宋体" w:hAnsi="宋体" w:eastAsia="宋体"/>
          <w:b/>
          <w:bCs/>
          <w:szCs w:val="21"/>
        </w:rPr>
        <w:t>苏恒集团企业宣传内容</w:t>
      </w:r>
    </w:p>
    <w:p>
      <w:pPr>
        <w:spacing w:line="360" w:lineRule="auto"/>
        <w:ind w:firstLine="422" w:firstLineChars="200"/>
        <w:rPr>
          <w:rFonts w:hint="eastAsia" w:ascii="仿宋_GB2312" w:hAnsi="仿宋_GB2312" w:eastAsia="仿宋_GB2312" w:cs="仿宋_GB2312"/>
          <w:b/>
          <w:bCs/>
          <w:szCs w:val="21"/>
        </w:rPr>
      </w:pPr>
      <w:r>
        <w:rPr>
          <w:rFonts w:hint="eastAsia" w:ascii="仿宋_GB2312" w:hAnsi="仿宋_GB2312" w:eastAsia="仿宋_GB2312" w:cs="仿宋_GB2312"/>
          <w:b/>
          <w:bCs/>
          <w:szCs w:val="21"/>
        </w:rPr>
        <w:t>（三）帮助企业员工成长</w:t>
      </w:r>
    </w:p>
    <w:p>
      <w:pPr>
        <w:spacing w:line="36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企业兼职老师具有丰富的实践经验，但是也存在理论知识不足，规范性不够的问题。在参与教学的过程中，按照我校的要求备课，并接受校、院领导的课堂听课，提升了兼职老师的文本处理、课堂组织、语言表达等能力的提高，也在一定程度上帮助员工对现有工作进行总结反思，促进了个人工作能力的提高。</w:t>
      </w:r>
    </w:p>
    <w:p>
      <w:pPr>
        <w:ind w:firstLine="422" w:firstLineChars="200"/>
        <w:rPr>
          <w:rFonts w:hint="eastAsia" w:ascii="仿宋_GB2312" w:hAnsi="仿宋_GB2312" w:eastAsia="仿宋_GB2312" w:cs="仿宋_GB2312"/>
          <w:b/>
          <w:szCs w:val="21"/>
        </w:rPr>
      </w:pPr>
      <w:r>
        <w:rPr>
          <w:rFonts w:hint="eastAsia" w:ascii="仿宋_GB2312" w:hAnsi="仿宋_GB2312" w:eastAsia="仿宋_GB2312" w:cs="仿宋_GB2312"/>
          <w:b/>
          <w:szCs w:val="21"/>
        </w:rPr>
        <w:t>六、问题与展望</w:t>
      </w:r>
    </w:p>
    <w:p>
      <w:pPr>
        <w:spacing w:line="300" w:lineRule="auto"/>
        <w:ind w:firstLine="422" w:firstLineChars="200"/>
        <w:rPr>
          <w:rFonts w:hint="eastAsia" w:ascii="仿宋_GB2312" w:hAnsi="仿宋_GB2312" w:eastAsia="仿宋_GB2312" w:cs="仿宋_GB2312"/>
          <w:b/>
          <w:bCs/>
          <w:szCs w:val="21"/>
        </w:rPr>
      </w:pPr>
      <w:r>
        <w:rPr>
          <w:rFonts w:hint="eastAsia" w:ascii="仿宋_GB2312" w:hAnsi="仿宋_GB2312" w:eastAsia="仿宋_GB2312" w:cs="仿宋_GB2312"/>
          <w:b/>
          <w:bCs/>
          <w:szCs w:val="21"/>
        </w:rPr>
        <w:t>（一）存在的问题</w:t>
      </w:r>
    </w:p>
    <w:p>
      <w:pPr>
        <w:spacing w:line="30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（1）目前的合作模式下，都是以校外师资进校为主，缺乏对校内教师的培养，还未能做到让学校老师进入企业学习，对我校师资专业技能的提升帮助不够；</w:t>
      </w:r>
    </w:p>
    <w:p>
      <w:pPr>
        <w:spacing w:line="30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（2）校企合作中，不管微观上双方的具体合作内容，还是宏观上学校文化与企业文化的融合，或者是校企间弹性学制的建立等缺乏必要的深度和广度，合作还停留在企业提供顶岗实习、实训基地等合作层面；</w:t>
      </w:r>
    </w:p>
    <w:p>
      <w:pPr>
        <w:spacing w:line="30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（3）校企双方在实施校企合作中的责、权、利没有明确的表达，缺乏具体的、可操作性的政策法规和实施规则，在课程开发、职业教育标准制定方面难以得到行业、企业制度化的参与。</w:t>
      </w:r>
    </w:p>
    <w:p>
      <w:pPr>
        <w:spacing w:line="300" w:lineRule="auto"/>
        <w:ind w:firstLine="422" w:firstLineChars="200"/>
        <w:rPr>
          <w:rFonts w:hint="eastAsia" w:ascii="仿宋_GB2312" w:hAnsi="仿宋_GB2312" w:eastAsia="仿宋_GB2312" w:cs="仿宋_GB2312"/>
          <w:b/>
          <w:bCs/>
          <w:szCs w:val="21"/>
        </w:rPr>
      </w:pPr>
      <w:r>
        <w:rPr>
          <w:rFonts w:hint="eastAsia" w:ascii="仿宋_GB2312" w:hAnsi="仿宋_GB2312" w:eastAsia="仿宋_GB2312" w:cs="仿宋_GB2312"/>
          <w:b/>
          <w:bCs/>
          <w:szCs w:val="21"/>
        </w:rPr>
        <w:t>（二）展望</w:t>
      </w:r>
    </w:p>
    <w:p>
      <w:pPr>
        <w:spacing w:line="30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（1）调动企业积极性，强化服务企业的功能，加大师资队伍建设的投入力度，提高专业教师的业务、科研和技术服务水平，鼓励专业课教师到合作企业顶岗实践，严格落实教师下企业制度；</w:t>
      </w:r>
    </w:p>
    <w:p>
      <w:pPr>
        <w:spacing w:line="30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（2）探索职业教育规律的新视角来认识校企合作对于职业教育改革和发展的深刻意义,努力转变教育观念,积极尝试职业教育改革的新路径，专业设置与企业岗位群对接，课程体系与职业标准对接；</w:t>
      </w:r>
    </w:p>
    <w:p>
      <w:pPr>
        <w:spacing w:line="300" w:lineRule="auto"/>
        <w:ind w:firstLine="420" w:firstLineChars="200"/>
        <w:rPr>
          <w:rFonts w:hint="eastAsia" w:ascii="仿宋_GB2312" w:hAnsi="仿宋_GB2312" w:eastAsia="仿宋_GB2312" w:cs="仿宋_GB2312"/>
          <w:szCs w:val="21"/>
        </w:rPr>
      </w:pPr>
      <w:r>
        <w:rPr>
          <w:rFonts w:hint="eastAsia" w:ascii="仿宋_GB2312" w:hAnsi="仿宋_GB2312" w:eastAsia="仿宋_GB2312" w:cs="仿宋_GB2312"/>
          <w:szCs w:val="21"/>
        </w:rPr>
        <w:t>（3）形成责、权、利对等的运行机制和激励机制，完善关于学生顶岗实习的各项政策规定,对积极参与职业教育校企合作的企业给予表彰、鼓励，对于学生顶岗实习中涉及的风险因素,通过社会保险予以规避。</w:t>
      </w:r>
    </w:p>
    <w:sectPr>
      <w:pgSz w:w="11906" w:h="16838"/>
      <w:pgMar w:top="1587" w:right="1474" w:bottom="1587" w:left="158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仿宋_GB2312">
    <w:panose1 w:val="02010609030101010101"/>
    <w:charset w:val="86"/>
    <w:family w:val="auto"/>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E2OWM4NTQ2MWU0ZjFmZmU0ODIxMjA5NWM0NGVmNGIifQ=="/>
  </w:docVars>
  <w:rsids>
    <w:rsidRoot w:val="00242850"/>
    <w:rsid w:val="00013C20"/>
    <w:rsid w:val="00016E8B"/>
    <w:rsid w:val="000222E3"/>
    <w:rsid w:val="0005266D"/>
    <w:rsid w:val="000552E1"/>
    <w:rsid w:val="00063631"/>
    <w:rsid w:val="00064A8E"/>
    <w:rsid w:val="0007431C"/>
    <w:rsid w:val="000768CA"/>
    <w:rsid w:val="00091D2B"/>
    <w:rsid w:val="000A2C0A"/>
    <w:rsid w:val="000A5A80"/>
    <w:rsid w:val="000B25A1"/>
    <w:rsid w:val="000B7A06"/>
    <w:rsid w:val="000D61CE"/>
    <w:rsid w:val="000E1772"/>
    <w:rsid w:val="000F2203"/>
    <w:rsid w:val="000F4D85"/>
    <w:rsid w:val="000F4D89"/>
    <w:rsid w:val="00137C82"/>
    <w:rsid w:val="00157458"/>
    <w:rsid w:val="001756FB"/>
    <w:rsid w:val="001757DF"/>
    <w:rsid w:val="001B5E44"/>
    <w:rsid w:val="001B76F7"/>
    <w:rsid w:val="001C4089"/>
    <w:rsid w:val="001D7013"/>
    <w:rsid w:val="00201BFE"/>
    <w:rsid w:val="00220F2C"/>
    <w:rsid w:val="00242850"/>
    <w:rsid w:val="002923B5"/>
    <w:rsid w:val="002C47E0"/>
    <w:rsid w:val="002C74B8"/>
    <w:rsid w:val="002D63D2"/>
    <w:rsid w:val="002F75D0"/>
    <w:rsid w:val="00305EB3"/>
    <w:rsid w:val="00316523"/>
    <w:rsid w:val="00336E11"/>
    <w:rsid w:val="00347997"/>
    <w:rsid w:val="00355F93"/>
    <w:rsid w:val="00375927"/>
    <w:rsid w:val="00383080"/>
    <w:rsid w:val="00390472"/>
    <w:rsid w:val="003D1BB2"/>
    <w:rsid w:val="003E2B00"/>
    <w:rsid w:val="00410C33"/>
    <w:rsid w:val="00410FAA"/>
    <w:rsid w:val="0041107A"/>
    <w:rsid w:val="0043641C"/>
    <w:rsid w:val="00451E29"/>
    <w:rsid w:val="004B0E88"/>
    <w:rsid w:val="004C2C69"/>
    <w:rsid w:val="004D2CC2"/>
    <w:rsid w:val="004F01B1"/>
    <w:rsid w:val="004F35F6"/>
    <w:rsid w:val="00536D2A"/>
    <w:rsid w:val="00563469"/>
    <w:rsid w:val="00574DE5"/>
    <w:rsid w:val="00587980"/>
    <w:rsid w:val="005A1D54"/>
    <w:rsid w:val="005A72C0"/>
    <w:rsid w:val="005B11B1"/>
    <w:rsid w:val="005B17C1"/>
    <w:rsid w:val="005B2EB9"/>
    <w:rsid w:val="005D259D"/>
    <w:rsid w:val="005E574A"/>
    <w:rsid w:val="005E6A8C"/>
    <w:rsid w:val="00634B60"/>
    <w:rsid w:val="00656C2D"/>
    <w:rsid w:val="0066323F"/>
    <w:rsid w:val="0067160A"/>
    <w:rsid w:val="0068616D"/>
    <w:rsid w:val="00695974"/>
    <w:rsid w:val="006968C2"/>
    <w:rsid w:val="006F6D08"/>
    <w:rsid w:val="00747222"/>
    <w:rsid w:val="00752B0F"/>
    <w:rsid w:val="00777227"/>
    <w:rsid w:val="007A25F5"/>
    <w:rsid w:val="007B69AC"/>
    <w:rsid w:val="00811859"/>
    <w:rsid w:val="00823DBE"/>
    <w:rsid w:val="0085301A"/>
    <w:rsid w:val="00861861"/>
    <w:rsid w:val="00875F18"/>
    <w:rsid w:val="008A348A"/>
    <w:rsid w:val="008B3B30"/>
    <w:rsid w:val="008D10CE"/>
    <w:rsid w:val="008E5A99"/>
    <w:rsid w:val="00913F7F"/>
    <w:rsid w:val="00917E98"/>
    <w:rsid w:val="00942AAC"/>
    <w:rsid w:val="00965FCF"/>
    <w:rsid w:val="00971231"/>
    <w:rsid w:val="009B4C18"/>
    <w:rsid w:val="009C61FD"/>
    <w:rsid w:val="009D0A9A"/>
    <w:rsid w:val="009D646E"/>
    <w:rsid w:val="00A258E9"/>
    <w:rsid w:val="00A3017F"/>
    <w:rsid w:val="00A34BCA"/>
    <w:rsid w:val="00A44CB6"/>
    <w:rsid w:val="00A64981"/>
    <w:rsid w:val="00A76CFF"/>
    <w:rsid w:val="00AC4F30"/>
    <w:rsid w:val="00B054D5"/>
    <w:rsid w:val="00B240B1"/>
    <w:rsid w:val="00B65F37"/>
    <w:rsid w:val="00B74801"/>
    <w:rsid w:val="00B872F7"/>
    <w:rsid w:val="00BA038B"/>
    <w:rsid w:val="00BA45A9"/>
    <w:rsid w:val="00BA4963"/>
    <w:rsid w:val="00BC0793"/>
    <w:rsid w:val="00BD0C1D"/>
    <w:rsid w:val="00BD6F3D"/>
    <w:rsid w:val="00BF3051"/>
    <w:rsid w:val="00BF782D"/>
    <w:rsid w:val="00C37286"/>
    <w:rsid w:val="00C444E0"/>
    <w:rsid w:val="00C52036"/>
    <w:rsid w:val="00C62601"/>
    <w:rsid w:val="00C828AA"/>
    <w:rsid w:val="00CA5BF9"/>
    <w:rsid w:val="00CB0971"/>
    <w:rsid w:val="00CC0B02"/>
    <w:rsid w:val="00CD63DE"/>
    <w:rsid w:val="00D063F1"/>
    <w:rsid w:val="00D11AC6"/>
    <w:rsid w:val="00D30E9F"/>
    <w:rsid w:val="00D3456A"/>
    <w:rsid w:val="00D5044B"/>
    <w:rsid w:val="00D62CA5"/>
    <w:rsid w:val="00D92A62"/>
    <w:rsid w:val="00DA351A"/>
    <w:rsid w:val="00DD0DE8"/>
    <w:rsid w:val="00DE6D24"/>
    <w:rsid w:val="00DF6AE9"/>
    <w:rsid w:val="00E22D4B"/>
    <w:rsid w:val="00E30CE3"/>
    <w:rsid w:val="00E30D55"/>
    <w:rsid w:val="00E500C4"/>
    <w:rsid w:val="00E538F0"/>
    <w:rsid w:val="00E5399A"/>
    <w:rsid w:val="00E704A1"/>
    <w:rsid w:val="00E82458"/>
    <w:rsid w:val="00E915C2"/>
    <w:rsid w:val="00EA45D9"/>
    <w:rsid w:val="00EA4D6F"/>
    <w:rsid w:val="00EC4F94"/>
    <w:rsid w:val="00ED2959"/>
    <w:rsid w:val="00F157E8"/>
    <w:rsid w:val="00F4297E"/>
    <w:rsid w:val="00F45B4D"/>
    <w:rsid w:val="00F52075"/>
    <w:rsid w:val="00F74DDB"/>
    <w:rsid w:val="00F75C57"/>
    <w:rsid w:val="00F81A34"/>
    <w:rsid w:val="00FC4CD9"/>
    <w:rsid w:val="00FF1889"/>
    <w:rsid w:val="07FC2703"/>
    <w:rsid w:val="09253F4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iPriority="2"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iPriority="3"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2">
    <w:name w:val="Balloon Text"/>
    <w:basedOn w:val="1"/>
    <w:link w:val="15"/>
    <w:semiHidden/>
    <w:unhideWhenUsed/>
    <w:uiPriority w:val="99"/>
    <w:rPr>
      <w:sz w:val="18"/>
      <w:szCs w:val="18"/>
    </w:rPr>
  </w:style>
  <w:style w:type="paragraph" w:styleId="3">
    <w:name w:val="footer"/>
    <w:basedOn w:val="1"/>
    <w:link w:val="11"/>
    <w:unhideWhenUsed/>
    <w:uiPriority w:val="99"/>
    <w:pPr>
      <w:tabs>
        <w:tab w:val="center" w:pos="4153"/>
        <w:tab w:val="right" w:pos="8306"/>
      </w:tabs>
      <w:snapToGrid w:val="0"/>
      <w:jc w:val="left"/>
    </w:pPr>
    <w:rPr>
      <w:sz w:val="18"/>
      <w:szCs w:val="18"/>
    </w:rPr>
  </w:style>
  <w:style w:type="paragraph" w:styleId="4">
    <w:name w:val="header"/>
    <w:basedOn w:val="1"/>
    <w:link w:val="10"/>
    <w:unhideWhenUsed/>
    <w:uiPriority w:val="99"/>
    <w:pPr>
      <w:pBdr>
        <w:bottom w:val="single" w:color="auto" w:sz="6" w:space="1"/>
      </w:pBdr>
      <w:tabs>
        <w:tab w:val="center" w:pos="4153"/>
        <w:tab w:val="right" w:pos="8306"/>
      </w:tabs>
      <w:snapToGrid w:val="0"/>
      <w:jc w:val="center"/>
    </w:pPr>
    <w:rPr>
      <w:sz w:val="18"/>
      <w:szCs w:val="18"/>
    </w:rPr>
  </w:style>
  <w:style w:type="paragraph" w:styleId="5">
    <w:name w:val="Subtitle"/>
    <w:basedOn w:val="1"/>
    <w:link w:val="13"/>
    <w:unhideWhenUsed/>
    <w:qFormat/>
    <w:uiPriority w:val="3"/>
    <w:pPr>
      <w:widowControl/>
      <w:spacing w:before="300" w:after="40" w:line="264" w:lineRule="auto"/>
      <w:contextualSpacing/>
      <w:jc w:val="center"/>
    </w:pPr>
    <w:rPr>
      <w:rFonts w:asciiTheme="majorHAnsi" w:hAnsiTheme="majorHAnsi" w:eastAsiaTheme="majorEastAsia" w:cstheme="majorBidi"/>
      <w:caps/>
      <w:color w:val="44546A" w:themeColor="text2"/>
      <w:kern w:val="0"/>
      <w:sz w:val="26"/>
      <w:szCs w:val="26"/>
      <w14:textFill>
        <w14:solidFill>
          <w14:schemeClr w14:val="tx2"/>
        </w14:solidFill>
      </w14:textFill>
    </w:rPr>
  </w:style>
  <w:style w:type="paragraph" w:styleId="6">
    <w:name w:val="Title"/>
    <w:basedOn w:val="1"/>
    <w:link w:val="12"/>
    <w:unhideWhenUsed/>
    <w:qFormat/>
    <w:uiPriority w:val="2"/>
    <w:pPr>
      <w:widowControl/>
      <w:spacing w:before="440" w:after="40"/>
      <w:contextualSpacing/>
      <w:jc w:val="center"/>
    </w:pPr>
    <w:rPr>
      <w:rFonts w:asciiTheme="majorHAnsi" w:hAnsiTheme="majorHAnsi" w:eastAsiaTheme="majorEastAsia" w:cstheme="majorBidi"/>
      <w:color w:val="5B9BD5" w:themeColor="accent1"/>
      <w:kern w:val="28"/>
      <w:sz w:val="60"/>
      <w:szCs w:val="60"/>
      <w14:textFill>
        <w14:solidFill>
          <w14:schemeClr w14:val="accent1"/>
        </w14:solidFill>
      </w14:textFill>
    </w:rPr>
  </w:style>
  <w:style w:type="paragraph" w:styleId="9">
    <w:name w:val="List Paragraph"/>
    <w:basedOn w:val="1"/>
    <w:qFormat/>
    <w:uiPriority w:val="34"/>
    <w:pPr>
      <w:ind w:firstLine="420" w:firstLineChars="200"/>
    </w:pPr>
  </w:style>
  <w:style w:type="character" w:customStyle="1" w:styleId="10">
    <w:name w:val="页眉 字符"/>
    <w:basedOn w:val="8"/>
    <w:link w:val="4"/>
    <w:uiPriority w:val="99"/>
    <w:rPr>
      <w:sz w:val="18"/>
      <w:szCs w:val="18"/>
    </w:rPr>
  </w:style>
  <w:style w:type="character" w:customStyle="1" w:styleId="11">
    <w:name w:val="页脚 字符"/>
    <w:basedOn w:val="8"/>
    <w:link w:val="3"/>
    <w:uiPriority w:val="99"/>
    <w:rPr>
      <w:sz w:val="18"/>
      <w:szCs w:val="18"/>
    </w:rPr>
  </w:style>
  <w:style w:type="character" w:customStyle="1" w:styleId="12">
    <w:name w:val="标题 字符"/>
    <w:basedOn w:val="8"/>
    <w:link w:val="6"/>
    <w:uiPriority w:val="2"/>
    <w:rPr>
      <w:rFonts w:asciiTheme="majorHAnsi" w:hAnsiTheme="majorHAnsi" w:eastAsiaTheme="majorEastAsia" w:cstheme="majorBidi"/>
      <w:color w:val="5B9BD5" w:themeColor="accent1"/>
      <w:kern w:val="28"/>
      <w:sz w:val="60"/>
      <w:szCs w:val="60"/>
      <w14:textFill>
        <w14:solidFill>
          <w14:schemeClr w14:val="accent1"/>
        </w14:solidFill>
      </w14:textFill>
    </w:rPr>
  </w:style>
  <w:style w:type="character" w:customStyle="1" w:styleId="13">
    <w:name w:val="副标题 字符"/>
    <w:basedOn w:val="8"/>
    <w:link w:val="5"/>
    <w:uiPriority w:val="3"/>
    <w:rPr>
      <w:rFonts w:asciiTheme="majorHAnsi" w:hAnsiTheme="majorHAnsi" w:eastAsiaTheme="majorEastAsia" w:cstheme="majorBidi"/>
      <w:caps/>
      <w:color w:val="44546A" w:themeColor="text2"/>
      <w:kern w:val="0"/>
      <w:sz w:val="26"/>
      <w:szCs w:val="26"/>
      <w14:textFill>
        <w14:solidFill>
          <w14:schemeClr w14:val="tx2"/>
        </w14:solidFill>
      </w14:textFill>
    </w:rPr>
  </w:style>
  <w:style w:type="paragraph" w:customStyle="1" w:styleId="14">
    <w:name w:val="照片"/>
    <w:basedOn w:val="1"/>
    <w:qFormat/>
    <w:uiPriority w:val="1"/>
    <w:pPr>
      <w:widowControl/>
      <w:spacing w:before="2400" w:after="400" w:line="264" w:lineRule="auto"/>
      <w:jc w:val="center"/>
    </w:pPr>
    <w:rPr>
      <w:color w:val="44546A" w:themeColor="text2"/>
      <w:kern w:val="0"/>
      <w:sz w:val="22"/>
      <w14:textFill>
        <w14:solidFill>
          <w14:schemeClr w14:val="tx2"/>
        </w14:solidFill>
      </w14:textFill>
    </w:rPr>
  </w:style>
  <w:style w:type="character" w:customStyle="1" w:styleId="15">
    <w:name w:val="批注框文本 字符"/>
    <w:basedOn w:val="8"/>
    <w:link w:val="2"/>
    <w:semiHidden/>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GIF"/><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2522</Words>
  <Characters>2531</Characters>
  <Lines>18</Lines>
  <Paragraphs>5</Paragraphs>
  <TotalTime>4</TotalTime>
  <ScaleCrop>false</ScaleCrop>
  <LinksUpToDate>false</LinksUpToDate>
  <CharactersWithSpaces>2542</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2018-11-12T05:45:00Z</dcterms:created>
  <dc:creator>Administrator</dc:creator>
  <cp:lastModifiedBy>胡玮</cp:lastModifiedBy>
  <dcterms:modified xsi:type="dcterms:W3CDTF">2022-12-22T05:03:11Z</dcterms:modified>
  <cp:revision>91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FB78B5D1AE9D48E19F757F5F3902B3E0</vt:lpwstr>
  </property>
</Properties>
</file>