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sdt>
      <w:sdtPr>
        <w:id w:val="671686561"/>
      </w:sdtPr>
      <w:sdtContent>
        <w:p>
          <w:pPr>
            <w:widowControl/>
            <w:jc w:val="left"/>
            <w:sectPr>
              <w:footerReference r:id="rId3" w:type="first"/>
              <w:type w:val="continuous"/>
              <w:pgSz w:w="11907" w:h="16840"/>
              <w:pgMar w:top="1134" w:right="1134" w:bottom="1134" w:left="1134" w:header="0" w:footer="0" w:gutter="0"/>
              <w:pgNumType w:start="0"/>
              <w:cols w:space="425" w:num="1"/>
              <w:docGrid w:type="lines" w:linePitch="312" w:charSpace="0"/>
            </w:sectPr>
          </w:pPr>
          <w:bookmarkStart w:id="0" w:name="_Hlk28158782"/>
          <w:r>
            <w:pict>
              <v:group id="组 453" o:spid="_x0000_s1027" o:spt="203" style="position:absolute;left:0pt;margin-left:357pt;margin-top:0pt;height:842pt;width:238.15pt;mso-position-horizontal-relative:page;mso-position-vertical-relative:page;z-index:251661312;mso-width-relative:page;mso-height-relative:page;mso-width-percent:400;mso-height-percent:1000;" coordsize="31136,100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">
                <o:lock v:ext="edit"/>
                <v:rect id="矩形 459" o:spid="_x0000_s1028" o:spt="1" alt="Light vertical" style="position:absolute;left:0;top:0;height:100584;width:1385;v-text-anchor:middle;" fillcolor="#D5DCE4" filled="t" stroked="f"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">
                  <v:path/>
                  <v:fill on="t" focussize="0,0"/>
                  <v:stroke on="f"/>
                  <v:imagedata o:title=""/>
                  <o:lock v:ext="edit"/>
                </v:rect>
                <v:rect id="矩形 460" o:spid="_x0000_s1029" o:spt="1" style="position:absolute;left:1246;top:0;height:100584;width:29718;" fillcolor="#8496B0" filled="t" stroked="t"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">
                  <v:path/>
                  <v:fill on="t" focussize="0,0"/>
                  <v:stroke color="#D8D8D8"/>
                  <v:imagedata o:title=""/>
                  <o:lock v:ext="edit"/>
                </v:rect>
                <v:rect id="矩形 461" o:spid="_x0000_s1030" o:spt="1" style="position:absolute;left:138;top:0;height:23774;width:30998;v-text-anchor:bottom;" fillcolor="#8496B0" filled="t" stroked="f"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">
                  <v:path/>
                  <v:fill on="t" opacity="52428f" focussize="0,0"/>
                  <v:stroke on="f"/>
                  <v:imagedata o:title=""/>
                  <o:lock v:ext="edit"/>
                  <v:textbox inset="10.16mm,5.08mm,5.08mm,5.08mm">
                    <w:txbxContent>
                      <w:p/>
                    </w:txbxContent>
                  </v:textbox>
                </v:rect>
                <v:rect id="矩形 9" o:spid="_x0000_s1031" o:spt="1" style="position:absolute;left:0;top:67610;height:28333;width:30895;v-text-anchor:bottom;" filled="f" stroked="t"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">
                  <v:path/>
                  <v:fill on="f" focussize="0,0"/>
                  <v:stroke weight="1pt" color="#FFFFFF"/>
                  <v:imagedata o:title=""/>
                  <o:lock v:ext="edit"/>
                  <v:textbox inset="10.16mm,5.08mm,5.08mm,5.08mm">
                    <w:txbxContent>
                      <w:p/>
                    </w:txbxContent>
                  </v:textbox>
                </v:rect>
              </v:group>
            </w:pict>
          </w:r>
          <w:r>
            <w:pict>
              <v:rect id="矩形 16" o:spid="_x0000_s1026" o:spt="1" style="position:absolute;left:0pt;margin-left:0.75pt;margin-top:211.25pt;height:68.25pt;width:534.15pt;mso-position-horizontal-relative:page;mso-position-vertical-relative:page;z-index:251662336;v-text-anchor:middle;mso-width-relative:page;mso-height-relative:page;mso-width-percent:900;" fillcolor="#7F7F7F" filled="t" stroked="t" coordsize="21600,21600" o:allowincell="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">
                <v:path/>
                <v:fill on="t" focussize="0,0"/>
                <v:stroke weight="1.5pt" color="#808080"/>
                <v:imagedata o:title=""/>
                <o:lock v:ext="edit"/>
                <v:textbox inset="5.08mm,1.27mm,5.08mm,1.27mm">
                  <w:txbxContent>
                    <w:sdt>
                      <w:sdtPr>
                        <w:rPr>
                          <w:rFonts w:hint="eastAsia" w:ascii="方正大标宋简体" w:eastAsia="方正大标宋简体"/>
                          <w:b/>
                          <w:color w:val="CCE8CF" w:themeColor="background1"/>
                          <w:sz w:val="60"/>
                          <w:szCs w:val="60"/>
                        </w:rPr>
                        <w:alias w:val="标题"/>
                        <w:id w:val="-918330138"/>
                        <w:dataBinding w:prefixMappings="xmlns:ns0='http://schemas.openxmlformats.org/package/2006/metadata/core-properties' xmlns:ns1='http://purl.org/dc/elements/1.1/'" w:xpath="/ns0:coreProperties[1]/ns1:title[1]" w:storeItemID="{6C3C8BC8-F283-45AE-878A-BAB7291924A1}"/>
                        <w:text/>
                      </w:sdtPr>
                      <w:sdtEndPr>
                        <w:rPr>
                          <w:rFonts w:hint="eastAsia" w:ascii="方正大标宋简体" w:eastAsia="方正大标宋简体"/>
                          <w:b/>
                          <w:color w:val="CCE8CF" w:themeColor="background1"/>
                          <w:sz w:val="60"/>
                          <w:szCs w:val="60"/>
                        </w:rPr>
                      </w:sdtEndPr>
                      <w:sdtContent>
                        <w:p>
                          <w:pPr>
                            <w:pStyle w:val="45"/>
                            <w:jc w:val="right"/>
                            <w:rPr>
                              <w:color w:val="CCE8CF" w:themeColor="background1"/>
                              <w:sz w:val="72"/>
                              <w:szCs w:val="72"/>
                            </w:rPr>
                          </w:pPr>
                          <w:r>
                            <w:rPr>
                              <w:rFonts w:hint="eastAsia" w:ascii="方正大标宋简体" w:eastAsia="方正大标宋简体"/>
                              <w:b/>
                              <w:color w:val="FFFFFF"/>
                              <w:sz w:val="60"/>
                              <w:szCs w:val="60"/>
                            </w:rPr>
                            <w:t>高等职业教育质量年度报告（202</w:t>
                          </w:r>
                          <w:r>
                            <w:rPr>
                              <w:rFonts w:ascii="方正大标宋简体" w:eastAsia="方正大标宋简体"/>
                              <w:b/>
                              <w:color w:val="FFFFFF"/>
                              <w:sz w:val="60"/>
                              <w:szCs w:val="60"/>
                            </w:rPr>
                            <w:t>3</w:t>
                          </w:r>
                          <w:r>
                            <w:rPr>
                              <w:rFonts w:hint="eastAsia" w:ascii="方正大标宋简体" w:eastAsia="方正大标宋简体"/>
                              <w:b/>
                              <w:color w:val="FFFFFF"/>
                              <w:sz w:val="60"/>
                              <w:szCs w:val="60"/>
                            </w:rPr>
                            <w:t>）</w:t>
                          </w:r>
                        </w:p>
                      </w:sdtContent>
                    </w:sdt>
                  </w:txbxContent>
                </v:textbox>
              </v:rect>
            </w:pict>
          </w:r>
          <w:r>
            <w:rPr>
              <w:rFonts w:hint="eastAsia"/>
            </w:rPr>
            <w:drawing>
              <wp:anchor distT="0" distB="0" distL="114300" distR="114300" simplePos="0" relativeHeight="251659264" behindDoc="0" locked="0" layoutInCell="1" allowOverlap="1">
                <wp:simplePos x="0" y="0"/>
                <wp:positionH relativeFrom="column">
                  <wp:posOffset>3810</wp:posOffset>
                </wp:positionH>
                <wp:positionV relativeFrom="paragraph">
                  <wp:posOffset>32385</wp:posOffset>
                </wp:positionV>
                <wp:extent cx="3238500" cy="474980"/>
                <wp:effectExtent l="0" t="0" r="0" b="1905"/>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294047" cy="483100"/>
                        </a:xfrm>
                        <a:prstGeom prst="rect">
                          <a:avLst/>
                        </a:prstGeom>
                      </pic:spPr>
                    </pic:pic>
                  </a:graphicData>
                </a:graphic>
              </wp:anchor>
            </w:drawing>
          </w:r>
          <w:r>
            <w:drawing>
              <wp:anchor distT="0" distB="0" distL="114300" distR="114300" simplePos="0" relativeHeight="251666432" behindDoc="0" locked="0" layoutInCell="0" allowOverlap="1">
                <wp:simplePos x="0" y="0"/>
                <wp:positionH relativeFrom="page">
                  <wp:posOffset>1978660</wp:posOffset>
                </wp:positionH>
                <wp:positionV relativeFrom="page">
                  <wp:posOffset>3554095</wp:posOffset>
                </wp:positionV>
                <wp:extent cx="5577840" cy="3585210"/>
                <wp:effectExtent l="0" t="0" r="3810" b="0"/>
                <wp:wrapNone/>
                <wp:docPr id="4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图片 1"/>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577840" cy="3585111"/>
                        </a:xfrm>
                        <a:prstGeom prst="rect">
                          <a:avLst/>
                        </a:prstGeom>
                        <a:ln w="12700">
                          <a:noFill/>
                        </a:ln>
                      </pic:spPr>
                    </pic:pic>
                  </a:graphicData>
                </a:graphic>
              </wp:anchor>
            </w:drawing>
          </w:r>
        </w:p>
        <w:p>
          <w:pPr>
            <w:widowControl/>
            <w:jc w:val="left"/>
            <w:sectPr>
              <w:footerReference r:id="rId4" w:type="default"/>
              <w:pgSz w:w="11907" w:h="16840"/>
              <w:pgMar w:top="1134" w:right="1134" w:bottom="1134" w:left="1134" w:header="0" w:footer="0" w:gutter="0"/>
              <w:pgNumType w:start="1"/>
              <w:cols w:space="425" w:num="1"/>
              <w:docGrid w:type="lines" w:linePitch="312" w:charSpace="0"/>
            </w:sectPr>
          </w:pPr>
        </w:p>
      </w:sdtContent>
    </w:sdt>
    <w:bookmarkEnd w:id="0"/>
    <w:sdt>
      <w:sdtPr>
        <w:rPr>
          <w:rFonts w:asciiTheme="minorHAnsi" w:hAnsiTheme="minorHAnsi" w:eastAsiaTheme="minorEastAsia" w:cstheme="minorBidi"/>
          <w:b w:val="0"/>
          <w:bCs w:val="0"/>
          <w:color w:val="auto"/>
          <w:kern w:val="2"/>
          <w:sz w:val="21"/>
          <w:szCs w:val="22"/>
          <w:lang w:val="zh-CN"/>
        </w:rPr>
        <w:id w:val="1315068448"/>
        <w:docPartObj>
          <w:docPartGallery w:val="Table of Contents"/>
          <w:docPartUnique/>
        </w:docPartObj>
      </w:sdtPr>
      <w:sdtEndPr>
        <w:rPr>
          <w:rFonts w:hint="eastAsia" w:ascii="仿宋" w:hAnsi="仿宋" w:eastAsia="仿宋" w:cstheme="minorBidi"/>
          <w:b w:val="0"/>
          <w:bCs w:val="0"/>
          <w:color w:val="auto"/>
          <w:kern w:val="2"/>
          <w:sz w:val="24"/>
          <w:szCs w:val="24"/>
          <w:lang w:val="zh-CN"/>
        </w:rPr>
      </w:sdtEndPr>
      <w:sdtContent>
        <w:p>
          <w:pPr>
            <w:pStyle w:val="33"/>
            <w:tabs>
              <w:tab w:val="left" w:pos="675"/>
              <w:tab w:val="left" w:pos="990"/>
              <w:tab w:val="left" w:pos="1680"/>
              <w:tab w:val="center" w:pos="4819"/>
            </w:tabs>
            <w:spacing w:before="0"/>
            <w:rPr>
              <w:rFonts w:asciiTheme="minorHAnsi" w:hAnsiTheme="minorHAnsi" w:eastAsiaTheme="minorEastAsia" w:cstheme="minorBidi"/>
              <w:b w:val="0"/>
              <w:bCs w:val="0"/>
              <w:color w:val="auto"/>
              <w:kern w:val="2"/>
              <w:sz w:val="21"/>
              <w:szCs w:val="22"/>
              <w:lang w:val="zh-CN"/>
            </w:rPr>
          </w:pPr>
          <w:r>
            <w:drawing>
              <wp:inline distT="0" distB="0" distL="0" distR="0">
                <wp:extent cx="5705475" cy="602932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705475" cy="6029325"/>
                        </a:xfrm>
                        <a:prstGeom prst="rect">
                          <a:avLst/>
                        </a:prstGeom>
                        <a:noFill/>
                        <a:ln>
                          <a:noFill/>
                        </a:ln>
                      </pic:spPr>
                    </pic:pic>
                  </a:graphicData>
                </a:graphic>
              </wp:inline>
            </w:drawing>
          </w:r>
        </w:p>
        <w:p>
          <w:pPr>
            <w:pStyle w:val="33"/>
            <w:tabs>
              <w:tab w:val="left" w:pos="675"/>
              <w:tab w:val="left" w:pos="990"/>
              <w:tab w:val="left" w:pos="1680"/>
              <w:tab w:val="center" w:pos="4819"/>
            </w:tabs>
            <w:spacing w:before="0"/>
            <w:rPr>
              <w:rFonts w:asciiTheme="minorHAnsi" w:hAnsiTheme="minorHAnsi" w:eastAsiaTheme="minorEastAsia" w:cstheme="minorBidi"/>
              <w:b w:val="0"/>
              <w:bCs w:val="0"/>
              <w:color w:val="auto"/>
              <w:kern w:val="2"/>
              <w:sz w:val="21"/>
              <w:szCs w:val="22"/>
              <w:lang w:val="zh-CN"/>
            </w:rPr>
            <w:sectPr>
              <w:footerReference r:id="rId6" w:type="first"/>
              <w:footerReference r:id="rId5" w:type="default"/>
              <w:type w:val="continuous"/>
              <w:pgSz w:w="11907" w:h="16840"/>
              <w:pgMar w:top="1134" w:right="1134" w:bottom="1134" w:left="1134" w:header="0" w:footer="0" w:gutter="0"/>
              <w:pgNumType w:start="1"/>
              <w:cols w:space="425" w:num="1"/>
              <w:docGrid w:type="lines" w:linePitch="312" w:charSpace="0"/>
            </w:sectPr>
          </w:pPr>
        </w:p>
        <w:p>
          <w:pPr>
            <w:pStyle w:val="33"/>
            <w:tabs>
              <w:tab w:val="left" w:pos="675"/>
              <w:tab w:val="left" w:pos="990"/>
              <w:tab w:val="left" w:pos="1680"/>
              <w:tab w:val="center" w:pos="4819"/>
            </w:tabs>
            <w:spacing w:before="0"/>
            <w:rPr>
              <w:b w:val="0"/>
              <w:color w:val="000000" w:themeColor="text1"/>
              <w:sz w:val="44"/>
              <w:szCs w:val="44"/>
              <w:lang w:val="zh-CN"/>
            </w:rPr>
          </w:pPr>
          <w:r>
            <w:rPr>
              <w:rFonts w:asciiTheme="minorHAnsi" w:hAnsiTheme="minorHAnsi" w:eastAsiaTheme="minorEastAsia" w:cstheme="minorBidi"/>
              <w:b w:val="0"/>
              <w:bCs w:val="0"/>
              <w:color w:val="auto"/>
              <w:kern w:val="2"/>
              <w:sz w:val="21"/>
              <w:szCs w:val="22"/>
              <w:lang w:val="zh-CN"/>
            </w:rPr>
            <w:tab/>
          </w:r>
          <w:r>
            <w:rPr>
              <w:rFonts w:asciiTheme="minorHAnsi" w:hAnsiTheme="minorHAnsi" w:eastAsiaTheme="minorEastAsia" w:cstheme="minorBidi"/>
              <w:b w:val="0"/>
              <w:bCs w:val="0"/>
              <w:color w:val="auto"/>
              <w:kern w:val="2"/>
              <w:sz w:val="21"/>
              <w:szCs w:val="22"/>
              <w:lang w:val="zh-CN"/>
            </w:rPr>
            <w:tab/>
          </w:r>
          <w:r>
            <w:rPr>
              <w:rFonts w:asciiTheme="minorHAnsi" w:hAnsiTheme="minorHAnsi" w:eastAsiaTheme="minorEastAsia" w:cstheme="minorBidi"/>
              <w:b w:val="0"/>
              <w:bCs w:val="0"/>
              <w:color w:val="auto"/>
              <w:kern w:val="2"/>
              <w:sz w:val="21"/>
              <w:szCs w:val="22"/>
              <w:lang w:val="zh-CN"/>
            </w:rPr>
            <w:tab/>
          </w:r>
          <w:r>
            <w:rPr>
              <w:rFonts w:asciiTheme="minorHAnsi" w:hAnsiTheme="minorHAnsi" w:eastAsiaTheme="minorEastAsia" w:cstheme="minorBidi"/>
              <w:b w:val="0"/>
              <w:bCs w:val="0"/>
              <w:color w:val="auto"/>
              <w:kern w:val="2"/>
              <w:sz w:val="21"/>
              <w:szCs w:val="22"/>
              <w:lang w:val="zh-CN"/>
            </w:rPr>
            <w:tab/>
          </w:r>
          <w:r>
            <w:rPr>
              <w:b w:val="0"/>
              <w:color w:val="000000" w:themeColor="text1"/>
              <w:sz w:val="44"/>
              <w:szCs w:val="44"/>
              <w:lang w:val="zh-CN"/>
            </w:rPr>
            <w:t>目</w:t>
          </w:r>
          <w:r>
            <w:rPr>
              <w:rFonts w:hint="eastAsia"/>
              <w:b w:val="0"/>
              <w:color w:val="000000" w:themeColor="text1"/>
              <w:sz w:val="44"/>
              <w:szCs w:val="44"/>
              <w:lang w:val="zh-CN"/>
            </w:rPr>
            <w:t xml:space="preserve"> </w:t>
          </w:r>
          <w:r>
            <w:rPr>
              <w:b w:val="0"/>
              <w:color w:val="000000" w:themeColor="text1"/>
              <w:sz w:val="44"/>
              <w:szCs w:val="44"/>
              <w:lang w:val="zh-CN"/>
            </w:rPr>
            <w:t xml:space="preserve"> 录</w:t>
          </w:r>
        </w:p>
        <w:p>
          <w:pPr>
            <w:pStyle w:val="13"/>
            <w:tabs>
              <w:tab w:val="right" w:leader="dot" w:pos="9629"/>
            </w:tabs>
          </w:pPr>
          <w:r>
            <w:rPr>
              <w:rFonts w:hint="eastAsia" w:ascii="仿宋" w:hAnsi="仿宋" w:eastAsia="仿宋"/>
              <w:sz w:val="24"/>
              <w:szCs w:val="24"/>
            </w:rPr>
            <w:fldChar w:fldCharType="begin"/>
          </w:r>
          <w:r>
            <w:rPr>
              <w:rFonts w:hint="eastAsia" w:ascii="仿宋" w:hAnsi="仿宋" w:eastAsia="仿宋"/>
              <w:sz w:val="24"/>
              <w:szCs w:val="24"/>
            </w:rPr>
            <w:instrText xml:space="preserve"> TOC \o "1-3" \h \z \u </w:instrText>
          </w:r>
          <w:r>
            <w:rPr>
              <w:rFonts w:hint="eastAsia" w:ascii="仿宋" w:hAnsi="仿宋" w:eastAsia="仿宋"/>
              <w:sz w:val="24"/>
              <w:szCs w:val="24"/>
            </w:rPr>
            <w:fldChar w:fldCharType="separate"/>
          </w:r>
          <w:r>
            <w:fldChar w:fldCharType="begin"/>
          </w:r>
          <w:r>
            <w:instrText xml:space="preserve"> HYPERLINK \l "_Toc124087872" </w:instrText>
          </w:r>
          <w:r>
            <w:fldChar w:fldCharType="separate"/>
          </w:r>
          <w:r>
            <w:rPr>
              <w:rStyle w:val="26"/>
              <w:rFonts w:ascii="仿宋_GB2312" w:eastAsia="仿宋_GB2312" w:hAnsiTheme="minorEastAsia"/>
            </w:rPr>
            <w:t>前   言</w:t>
          </w:r>
          <w:r>
            <w:tab/>
          </w:r>
          <w:r>
            <w:fldChar w:fldCharType="begin"/>
          </w:r>
          <w:r>
            <w:instrText xml:space="preserve"> PAGEREF _Toc124087872 \h </w:instrText>
          </w:r>
          <w:r>
            <w:fldChar w:fldCharType="separate"/>
          </w:r>
          <w:r>
            <w:t>1</w:t>
          </w:r>
          <w:r>
            <w:fldChar w:fldCharType="end"/>
          </w:r>
          <w:r>
            <w:fldChar w:fldCharType="end"/>
          </w:r>
        </w:p>
        <w:p>
          <w:pPr>
            <w:pStyle w:val="13"/>
            <w:tabs>
              <w:tab w:val="right" w:leader="dot" w:pos="9629"/>
            </w:tabs>
          </w:pPr>
          <w:r>
            <w:fldChar w:fldCharType="begin"/>
          </w:r>
          <w:r>
            <w:instrText xml:space="preserve"> HYPERLINK \l "_Toc124087873" </w:instrText>
          </w:r>
          <w:r>
            <w:fldChar w:fldCharType="separate"/>
          </w:r>
          <w:r>
            <w:rPr>
              <w:rStyle w:val="26"/>
              <w:rFonts w:ascii="黑体" w:hAnsi="黑体" w:eastAsia="黑体"/>
            </w:rPr>
            <w:t>1.学生发展</w:t>
          </w:r>
          <w:r>
            <w:tab/>
          </w:r>
          <w:r>
            <w:fldChar w:fldCharType="begin"/>
          </w:r>
          <w:r>
            <w:instrText xml:space="preserve"> PAGEREF _Toc124087873 \h </w:instrText>
          </w:r>
          <w:r>
            <w:fldChar w:fldCharType="separate"/>
          </w:r>
          <w:r>
            <w:t>1</w:t>
          </w:r>
          <w:r>
            <w:fldChar w:fldCharType="end"/>
          </w:r>
          <w:r>
            <w:fldChar w:fldCharType="end"/>
          </w:r>
        </w:p>
        <w:p>
          <w:pPr>
            <w:pStyle w:val="17"/>
            <w:tabs>
              <w:tab w:val="right" w:leader="dot" w:pos="9629"/>
            </w:tabs>
          </w:pPr>
          <w:r>
            <w:fldChar w:fldCharType="begin"/>
          </w:r>
          <w:r>
            <w:instrText xml:space="preserve"> HYPERLINK \l "_Toc124087874" </w:instrText>
          </w:r>
          <w:r>
            <w:fldChar w:fldCharType="separate"/>
          </w:r>
          <w:r>
            <w:rPr>
              <w:rStyle w:val="26"/>
              <w:rFonts w:ascii="仿宋_GB2312" w:eastAsia="仿宋_GB2312" w:hAnsiTheme="minorEastAsia"/>
            </w:rPr>
            <w:t>1.1党建引领</w:t>
          </w:r>
          <w:r>
            <w:tab/>
          </w:r>
          <w:r>
            <w:fldChar w:fldCharType="begin"/>
          </w:r>
          <w:r>
            <w:instrText xml:space="preserve"> PAGEREF _Toc124087874 \h </w:instrText>
          </w:r>
          <w:r>
            <w:fldChar w:fldCharType="separate"/>
          </w:r>
          <w:r>
            <w:t>1</w:t>
          </w:r>
          <w:r>
            <w:fldChar w:fldCharType="end"/>
          </w:r>
          <w:r>
            <w:fldChar w:fldCharType="end"/>
          </w:r>
        </w:p>
        <w:p>
          <w:pPr>
            <w:pStyle w:val="8"/>
            <w:tabs>
              <w:tab w:val="right" w:leader="dot" w:pos="9629"/>
            </w:tabs>
          </w:pPr>
          <w:r>
            <w:fldChar w:fldCharType="begin"/>
          </w:r>
          <w:r>
            <w:instrText xml:space="preserve"> HYPERLINK \l "_Toc124087875" </w:instrText>
          </w:r>
          <w:r>
            <w:fldChar w:fldCharType="separate"/>
          </w:r>
          <w:r>
            <w:rPr>
              <w:rStyle w:val="26"/>
              <w:rFonts w:ascii="仿宋_GB2312" w:hAnsi="宋体" w:eastAsia="仿宋_GB2312"/>
              <w:b/>
            </w:rPr>
            <w:t>案例1：【护理专业人才的红色主题教育】</w:t>
          </w:r>
          <w:r>
            <w:tab/>
          </w:r>
          <w:r>
            <w:fldChar w:fldCharType="begin"/>
          </w:r>
          <w:r>
            <w:instrText xml:space="preserve"> PAGEREF _Toc124087875 \h </w:instrText>
          </w:r>
          <w:r>
            <w:fldChar w:fldCharType="separate"/>
          </w:r>
          <w:r>
            <w:t>3</w:t>
          </w:r>
          <w:r>
            <w:fldChar w:fldCharType="end"/>
          </w:r>
          <w:r>
            <w:fldChar w:fldCharType="end"/>
          </w:r>
        </w:p>
        <w:p>
          <w:pPr>
            <w:pStyle w:val="17"/>
            <w:tabs>
              <w:tab w:val="right" w:leader="dot" w:pos="9629"/>
            </w:tabs>
          </w:pPr>
          <w:r>
            <w:fldChar w:fldCharType="begin"/>
          </w:r>
          <w:r>
            <w:instrText xml:space="preserve"> HYPERLINK \l "_Toc124087876" </w:instrText>
          </w:r>
          <w:r>
            <w:fldChar w:fldCharType="separate"/>
          </w:r>
          <w:r>
            <w:rPr>
              <w:rStyle w:val="26"/>
              <w:rFonts w:ascii="仿宋_GB2312" w:eastAsia="仿宋_GB2312" w:hAnsiTheme="minorEastAsia"/>
            </w:rPr>
            <w:t>1.2立德树人</w:t>
          </w:r>
          <w:r>
            <w:tab/>
          </w:r>
          <w:r>
            <w:fldChar w:fldCharType="begin"/>
          </w:r>
          <w:r>
            <w:instrText xml:space="preserve"> PAGEREF _Toc124087876 \h </w:instrText>
          </w:r>
          <w:r>
            <w:fldChar w:fldCharType="separate"/>
          </w:r>
          <w:r>
            <w:t>4</w:t>
          </w:r>
          <w:r>
            <w:fldChar w:fldCharType="end"/>
          </w:r>
          <w:r>
            <w:fldChar w:fldCharType="end"/>
          </w:r>
        </w:p>
        <w:p>
          <w:pPr>
            <w:pStyle w:val="8"/>
            <w:tabs>
              <w:tab w:val="right" w:leader="dot" w:pos="9629"/>
            </w:tabs>
          </w:pPr>
          <w:r>
            <w:fldChar w:fldCharType="begin"/>
          </w:r>
          <w:r>
            <w:instrText xml:space="preserve"> HYPERLINK \l "_Toc124087877" </w:instrText>
          </w:r>
          <w:r>
            <w:fldChar w:fldCharType="separate"/>
          </w:r>
          <w:r>
            <w:rPr>
              <w:rStyle w:val="26"/>
              <w:rFonts w:ascii="仿宋_GB2312" w:hAnsi="宋体" w:eastAsia="仿宋_GB2312"/>
              <w:b/>
            </w:rPr>
            <w:t>案例2：【用师德师风建设活动强化教师立德树人责任】</w:t>
          </w:r>
          <w:r>
            <w:tab/>
          </w:r>
          <w:r>
            <w:fldChar w:fldCharType="begin"/>
          </w:r>
          <w:r>
            <w:instrText xml:space="preserve"> PAGEREF _Toc124087877 \h </w:instrText>
          </w:r>
          <w:r>
            <w:fldChar w:fldCharType="separate"/>
          </w:r>
          <w:r>
            <w:t>8</w:t>
          </w:r>
          <w:r>
            <w:fldChar w:fldCharType="end"/>
          </w:r>
          <w:r>
            <w:fldChar w:fldCharType="end"/>
          </w:r>
        </w:p>
        <w:p>
          <w:pPr>
            <w:pStyle w:val="17"/>
            <w:tabs>
              <w:tab w:val="right" w:leader="dot" w:pos="9629"/>
            </w:tabs>
          </w:pPr>
          <w:r>
            <w:fldChar w:fldCharType="begin"/>
          </w:r>
          <w:r>
            <w:instrText xml:space="preserve"> HYPERLINK \l "_Toc124087878" </w:instrText>
          </w:r>
          <w:r>
            <w:fldChar w:fldCharType="separate"/>
          </w:r>
          <w:r>
            <w:rPr>
              <w:rStyle w:val="26"/>
              <w:rFonts w:ascii="仿宋_GB2312" w:eastAsia="仿宋_GB2312" w:hAnsiTheme="minorEastAsia"/>
            </w:rPr>
            <w:t>1.3就业质量</w:t>
          </w:r>
          <w:r>
            <w:tab/>
          </w:r>
          <w:r>
            <w:fldChar w:fldCharType="begin"/>
          </w:r>
          <w:r>
            <w:instrText xml:space="preserve"> PAGEREF _Toc124087878 \h </w:instrText>
          </w:r>
          <w:r>
            <w:fldChar w:fldCharType="separate"/>
          </w:r>
          <w:r>
            <w:t>9</w:t>
          </w:r>
          <w:r>
            <w:fldChar w:fldCharType="end"/>
          </w:r>
          <w:r>
            <w:fldChar w:fldCharType="end"/>
          </w:r>
        </w:p>
        <w:p>
          <w:pPr>
            <w:pStyle w:val="17"/>
            <w:tabs>
              <w:tab w:val="right" w:leader="dot" w:pos="9629"/>
            </w:tabs>
          </w:pPr>
          <w:r>
            <w:fldChar w:fldCharType="begin"/>
          </w:r>
          <w:r>
            <w:instrText xml:space="preserve"> HYPERLINK \l "_Toc124087879" </w:instrText>
          </w:r>
          <w:r>
            <w:fldChar w:fldCharType="separate"/>
          </w:r>
          <w:r>
            <w:rPr>
              <w:rStyle w:val="26"/>
              <w:rFonts w:ascii="仿宋_GB2312" w:eastAsia="仿宋_GB2312" w:hAnsiTheme="minorEastAsia"/>
            </w:rPr>
            <w:t>1.4职业发展</w:t>
          </w:r>
          <w:r>
            <w:tab/>
          </w:r>
          <w:r>
            <w:fldChar w:fldCharType="begin"/>
          </w:r>
          <w:r>
            <w:instrText xml:space="preserve"> PAGEREF _Toc124087879 \h </w:instrText>
          </w:r>
          <w:r>
            <w:fldChar w:fldCharType="separate"/>
          </w:r>
          <w:r>
            <w:t>11</w:t>
          </w:r>
          <w:r>
            <w:fldChar w:fldCharType="end"/>
          </w:r>
          <w:r>
            <w:fldChar w:fldCharType="end"/>
          </w:r>
        </w:p>
        <w:p>
          <w:pPr>
            <w:pStyle w:val="17"/>
            <w:tabs>
              <w:tab w:val="right" w:leader="dot" w:pos="9629"/>
            </w:tabs>
          </w:pPr>
          <w:r>
            <w:fldChar w:fldCharType="begin"/>
          </w:r>
          <w:r>
            <w:instrText xml:space="preserve"> HYPERLINK \l "_Toc124087880" </w:instrText>
          </w:r>
          <w:r>
            <w:fldChar w:fldCharType="separate"/>
          </w:r>
          <w:r>
            <w:rPr>
              <w:rStyle w:val="26"/>
              <w:rFonts w:ascii="仿宋_GB2312" w:eastAsia="仿宋_GB2312" w:hAnsiTheme="minorEastAsia"/>
            </w:rPr>
            <w:t>1.5在校体验</w:t>
          </w:r>
          <w:r>
            <w:tab/>
          </w:r>
          <w:r>
            <w:fldChar w:fldCharType="begin"/>
          </w:r>
          <w:r>
            <w:instrText xml:space="preserve"> PAGEREF _Toc124087880 \h </w:instrText>
          </w:r>
          <w:r>
            <w:fldChar w:fldCharType="separate"/>
          </w:r>
          <w:r>
            <w:t>14</w:t>
          </w:r>
          <w:r>
            <w:fldChar w:fldCharType="end"/>
          </w:r>
          <w:r>
            <w:fldChar w:fldCharType="end"/>
          </w:r>
        </w:p>
        <w:p>
          <w:pPr>
            <w:pStyle w:val="8"/>
            <w:tabs>
              <w:tab w:val="right" w:leader="dot" w:pos="9629"/>
            </w:tabs>
          </w:pPr>
          <w:r>
            <w:fldChar w:fldCharType="begin"/>
          </w:r>
          <w:r>
            <w:instrText xml:space="preserve"> HYPERLINK \l "_Toc124087881" </w:instrText>
          </w:r>
          <w:r>
            <w:fldChar w:fldCharType="separate"/>
          </w:r>
          <w:r>
            <w:rPr>
              <w:rStyle w:val="26"/>
              <w:rFonts w:ascii="仿宋_GB2312" w:hAnsi="宋体" w:eastAsia="仿宋_GB2312"/>
              <w:b/>
            </w:rPr>
            <w:t>案例3：【在社会实践中绽放青春绚丽风采】</w:t>
          </w:r>
          <w:r>
            <w:tab/>
          </w:r>
          <w:r>
            <w:fldChar w:fldCharType="begin"/>
          </w:r>
          <w:r>
            <w:instrText xml:space="preserve"> PAGEREF _Toc124087881 \h </w:instrText>
          </w:r>
          <w:r>
            <w:fldChar w:fldCharType="separate"/>
          </w:r>
          <w:r>
            <w:t>16</w:t>
          </w:r>
          <w:r>
            <w:fldChar w:fldCharType="end"/>
          </w:r>
          <w:r>
            <w:fldChar w:fldCharType="end"/>
          </w:r>
        </w:p>
        <w:p>
          <w:pPr>
            <w:pStyle w:val="17"/>
            <w:tabs>
              <w:tab w:val="right" w:leader="dot" w:pos="9629"/>
            </w:tabs>
          </w:pPr>
          <w:r>
            <w:fldChar w:fldCharType="begin"/>
          </w:r>
          <w:r>
            <w:instrText xml:space="preserve"> HYPERLINK \l "_Toc124087882" </w:instrText>
          </w:r>
          <w:r>
            <w:fldChar w:fldCharType="separate"/>
          </w:r>
          <w:r>
            <w:rPr>
              <w:rStyle w:val="26"/>
              <w:rFonts w:ascii="仿宋_GB2312" w:eastAsia="仿宋_GB2312" w:hAnsiTheme="minorEastAsia"/>
            </w:rPr>
            <w:t>1.6创新创业</w:t>
          </w:r>
          <w:r>
            <w:tab/>
          </w:r>
          <w:r>
            <w:fldChar w:fldCharType="begin"/>
          </w:r>
          <w:r>
            <w:instrText xml:space="preserve"> PAGEREF _Toc124087882 \h </w:instrText>
          </w:r>
          <w:r>
            <w:fldChar w:fldCharType="separate"/>
          </w:r>
          <w:r>
            <w:t>17</w:t>
          </w:r>
          <w:r>
            <w:fldChar w:fldCharType="end"/>
          </w:r>
          <w:r>
            <w:fldChar w:fldCharType="end"/>
          </w:r>
        </w:p>
        <w:p>
          <w:pPr>
            <w:pStyle w:val="13"/>
            <w:tabs>
              <w:tab w:val="right" w:leader="dot" w:pos="9629"/>
            </w:tabs>
          </w:pPr>
          <w:r>
            <w:fldChar w:fldCharType="begin"/>
          </w:r>
          <w:r>
            <w:instrText xml:space="preserve"> HYPERLINK \l "_Toc124087883" </w:instrText>
          </w:r>
          <w:r>
            <w:fldChar w:fldCharType="separate"/>
          </w:r>
          <w:r>
            <w:rPr>
              <w:rStyle w:val="26"/>
              <w:rFonts w:ascii="黑体" w:hAnsi="黑体" w:eastAsia="黑体"/>
            </w:rPr>
            <w:t>2.教育教学</w:t>
          </w:r>
          <w:r>
            <w:tab/>
          </w:r>
          <w:r>
            <w:fldChar w:fldCharType="begin"/>
          </w:r>
          <w:r>
            <w:instrText xml:space="preserve"> PAGEREF _Toc124087883 \h </w:instrText>
          </w:r>
          <w:r>
            <w:fldChar w:fldCharType="separate"/>
          </w:r>
          <w:r>
            <w:t>17</w:t>
          </w:r>
          <w:r>
            <w:fldChar w:fldCharType="end"/>
          </w:r>
          <w:r>
            <w:fldChar w:fldCharType="end"/>
          </w:r>
        </w:p>
        <w:p>
          <w:pPr>
            <w:pStyle w:val="17"/>
            <w:tabs>
              <w:tab w:val="right" w:leader="dot" w:pos="9629"/>
            </w:tabs>
          </w:pPr>
          <w:r>
            <w:fldChar w:fldCharType="begin"/>
          </w:r>
          <w:r>
            <w:instrText xml:space="preserve"> HYPERLINK \l "_Toc124087884" </w:instrText>
          </w:r>
          <w:r>
            <w:fldChar w:fldCharType="separate"/>
          </w:r>
          <w:r>
            <w:rPr>
              <w:rStyle w:val="26"/>
              <w:rFonts w:ascii="仿宋_GB2312" w:eastAsia="仿宋_GB2312" w:hAnsiTheme="minorEastAsia"/>
            </w:rPr>
            <w:t>2.1师资队伍</w:t>
          </w:r>
          <w:r>
            <w:tab/>
          </w:r>
          <w:r>
            <w:fldChar w:fldCharType="begin"/>
          </w:r>
          <w:r>
            <w:instrText xml:space="preserve"> PAGEREF _Toc124087884 \h </w:instrText>
          </w:r>
          <w:r>
            <w:fldChar w:fldCharType="separate"/>
          </w:r>
          <w:r>
            <w:t>18</w:t>
          </w:r>
          <w:r>
            <w:fldChar w:fldCharType="end"/>
          </w:r>
          <w:r>
            <w:fldChar w:fldCharType="end"/>
          </w:r>
        </w:p>
        <w:p>
          <w:pPr>
            <w:pStyle w:val="8"/>
            <w:tabs>
              <w:tab w:val="right" w:leader="dot" w:pos="9629"/>
            </w:tabs>
          </w:pPr>
          <w:r>
            <w:fldChar w:fldCharType="begin"/>
          </w:r>
          <w:r>
            <w:instrText xml:space="preserve"> HYPERLINK \l "_Toc124087885" </w:instrText>
          </w:r>
          <w:r>
            <w:fldChar w:fldCharType="separate"/>
          </w:r>
          <w:r>
            <w:rPr>
              <w:rStyle w:val="26"/>
              <w:rFonts w:ascii="仿宋_GB2312" w:hAnsi="宋体" w:eastAsia="仿宋_GB2312"/>
              <w:b/>
            </w:rPr>
            <w:t>案例4【推进教师团队教学能力提高的积极探索】</w:t>
          </w:r>
          <w:r>
            <w:tab/>
          </w:r>
          <w:r>
            <w:fldChar w:fldCharType="begin"/>
          </w:r>
          <w:r>
            <w:instrText xml:space="preserve"> PAGEREF _Toc124087885 \h </w:instrText>
          </w:r>
          <w:r>
            <w:fldChar w:fldCharType="separate"/>
          </w:r>
          <w:r>
            <w:t>21</w:t>
          </w:r>
          <w:r>
            <w:fldChar w:fldCharType="end"/>
          </w:r>
          <w:r>
            <w:fldChar w:fldCharType="end"/>
          </w:r>
        </w:p>
        <w:p>
          <w:pPr>
            <w:pStyle w:val="17"/>
            <w:tabs>
              <w:tab w:val="right" w:leader="dot" w:pos="9629"/>
            </w:tabs>
          </w:pPr>
          <w:r>
            <w:fldChar w:fldCharType="begin"/>
          </w:r>
          <w:r>
            <w:instrText xml:space="preserve"> HYPERLINK \l "_Toc124087886" </w:instrText>
          </w:r>
          <w:r>
            <w:fldChar w:fldCharType="separate"/>
          </w:r>
          <w:r>
            <w:rPr>
              <w:rStyle w:val="26"/>
              <w:rFonts w:ascii="仿宋_GB2312" w:eastAsia="仿宋_GB2312" w:hAnsiTheme="minorEastAsia"/>
            </w:rPr>
            <w:t>2.2在线教学</w:t>
          </w:r>
          <w:r>
            <w:tab/>
          </w:r>
          <w:r>
            <w:fldChar w:fldCharType="begin"/>
          </w:r>
          <w:r>
            <w:instrText xml:space="preserve"> PAGEREF _Toc124087886 \h </w:instrText>
          </w:r>
          <w:r>
            <w:fldChar w:fldCharType="separate"/>
          </w:r>
          <w:r>
            <w:t>22</w:t>
          </w:r>
          <w:r>
            <w:fldChar w:fldCharType="end"/>
          </w:r>
          <w:r>
            <w:fldChar w:fldCharType="end"/>
          </w:r>
        </w:p>
        <w:p>
          <w:pPr>
            <w:pStyle w:val="8"/>
            <w:tabs>
              <w:tab w:val="right" w:leader="dot" w:pos="9629"/>
            </w:tabs>
          </w:pPr>
          <w:r>
            <w:fldChar w:fldCharType="begin"/>
          </w:r>
          <w:r>
            <w:instrText xml:space="preserve"> HYPERLINK \l "_Toc124087887" </w:instrText>
          </w:r>
          <w:r>
            <w:fldChar w:fldCharType="separate"/>
          </w:r>
          <w:r>
            <w:rPr>
              <w:rStyle w:val="26"/>
              <w:rFonts w:ascii="仿宋_GB2312" w:hAnsi="宋体" w:eastAsia="仿宋_GB2312"/>
              <w:b/>
            </w:rPr>
            <w:t>案例5【学校组织的在线教学成果征集活动】</w:t>
          </w:r>
          <w:r>
            <w:tab/>
          </w:r>
          <w:r>
            <w:fldChar w:fldCharType="begin"/>
          </w:r>
          <w:r>
            <w:instrText xml:space="preserve"> PAGEREF _Toc124087887 \h </w:instrText>
          </w:r>
          <w:r>
            <w:fldChar w:fldCharType="separate"/>
          </w:r>
          <w:r>
            <w:t>23</w:t>
          </w:r>
          <w:r>
            <w:fldChar w:fldCharType="end"/>
          </w:r>
          <w:r>
            <w:fldChar w:fldCharType="end"/>
          </w:r>
        </w:p>
        <w:p>
          <w:pPr>
            <w:pStyle w:val="17"/>
            <w:tabs>
              <w:tab w:val="right" w:leader="dot" w:pos="9629"/>
            </w:tabs>
          </w:pPr>
          <w:r>
            <w:fldChar w:fldCharType="begin"/>
          </w:r>
          <w:r>
            <w:instrText xml:space="preserve"> HYPERLINK \l "_Toc124087888" </w:instrText>
          </w:r>
          <w:r>
            <w:fldChar w:fldCharType="separate"/>
          </w:r>
          <w:r>
            <w:rPr>
              <w:rStyle w:val="26"/>
              <w:rFonts w:ascii="仿宋_GB2312" w:eastAsia="仿宋_GB2312" w:hAnsiTheme="minorEastAsia"/>
            </w:rPr>
            <w:t>2.3专业建设</w:t>
          </w:r>
          <w:r>
            <w:tab/>
          </w:r>
          <w:r>
            <w:fldChar w:fldCharType="begin"/>
          </w:r>
          <w:r>
            <w:instrText xml:space="preserve"> PAGEREF _Toc124087888 \h </w:instrText>
          </w:r>
          <w:r>
            <w:fldChar w:fldCharType="separate"/>
          </w:r>
          <w:r>
            <w:t>24</w:t>
          </w:r>
          <w:r>
            <w:fldChar w:fldCharType="end"/>
          </w:r>
          <w:r>
            <w:fldChar w:fldCharType="end"/>
          </w:r>
        </w:p>
        <w:p>
          <w:pPr>
            <w:pStyle w:val="8"/>
            <w:tabs>
              <w:tab w:val="right" w:leader="dot" w:pos="9629"/>
            </w:tabs>
          </w:pPr>
          <w:r>
            <w:fldChar w:fldCharType="begin"/>
          </w:r>
          <w:r>
            <w:instrText xml:space="preserve"> HYPERLINK \l "_Toc124087889" </w:instrText>
          </w:r>
          <w:r>
            <w:fldChar w:fldCharType="separate"/>
          </w:r>
          <w:r>
            <w:rPr>
              <w:rStyle w:val="26"/>
              <w:rFonts w:ascii="仿宋_GB2312" w:hAnsi="宋体" w:eastAsia="仿宋_GB2312"/>
              <w:b/>
            </w:rPr>
            <w:t>案例6【舞蹈专业的江南非遗文化传承】</w:t>
          </w:r>
          <w:r>
            <w:tab/>
          </w:r>
          <w:r>
            <w:fldChar w:fldCharType="begin"/>
          </w:r>
          <w:r>
            <w:instrText xml:space="preserve"> PAGEREF _Toc124087889 \h </w:instrText>
          </w:r>
          <w:r>
            <w:fldChar w:fldCharType="separate"/>
          </w:r>
          <w:r>
            <w:t>29</w:t>
          </w:r>
          <w:r>
            <w:fldChar w:fldCharType="end"/>
          </w:r>
          <w:r>
            <w:fldChar w:fldCharType="end"/>
          </w:r>
        </w:p>
        <w:p>
          <w:pPr>
            <w:pStyle w:val="17"/>
            <w:tabs>
              <w:tab w:val="right" w:leader="dot" w:pos="9629"/>
            </w:tabs>
          </w:pPr>
          <w:r>
            <w:fldChar w:fldCharType="begin"/>
          </w:r>
          <w:r>
            <w:instrText xml:space="preserve"> HYPERLINK \l "_Toc124087890" </w:instrText>
          </w:r>
          <w:r>
            <w:fldChar w:fldCharType="separate"/>
          </w:r>
          <w:r>
            <w:rPr>
              <w:rStyle w:val="26"/>
              <w:rFonts w:ascii="仿宋_GB2312" w:eastAsia="仿宋_GB2312" w:hAnsiTheme="minorEastAsia"/>
            </w:rPr>
            <w:t>2.4课程建设</w:t>
          </w:r>
          <w:r>
            <w:tab/>
          </w:r>
          <w:r>
            <w:fldChar w:fldCharType="begin"/>
          </w:r>
          <w:r>
            <w:instrText xml:space="preserve"> PAGEREF _Toc124087890 \h </w:instrText>
          </w:r>
          <w:r>
            <w:fldChar w:fldCharType="separate"/>
          </w:r>
          <w:r>
            <w:t>30</w:t>
          </w:r>
          <w:r>
            <w:fldChar w:fldCharType="end"/>
          </w:r>
          <w:r>
            <w:fldChar w:fldCharType="end"/>
          </w:r>
        </w:p>
        <w:p>
          <w:pPr>
            <w:pStyle w:val="8"/>
            <w:tabs>
              <w:tab w:val="right" w:leader="dot" w:pos="9629"/>
            </w:tabs>
          </w:pPr>
          <w:r>
            <w:fldChar w:fldCharType="begin"/>
          </w:r>
          <w:r>
            <w:instrText xml:space="preserve"> HYPERLINK \l "_Toc124087891" </w:instrText>
          </w:r>
          <w:r>
            <w:fldChar w:fldCharType="separate"/>
          </w:r>
          <w:r>
            <w:rPr>
              <w:rStyle w:val="26"/>
              <w:rFonts w:ascii="仿宋_GB2312" w:hAnsi="宋体" w:eastAsia="仿宋_GB2312"/>
              <w:b/>
            </w:rPr>
            <w:t>案例7：【工作室运行体系下的专业课程项目化改革】</w:t>
          </w:r>
          <w:r>
            <w:tab/>
          </w:r>
          <w:r>
            <w:fldChar w:fldCharType="begin"/>
          </w:r>
          <w:r>
            <w:instrText xml:space="preserve"> PAGEREF _Toc124087891 \h </w:instrText>
          </w:r>
          <w:r>
            <w:fldChar w:fldCharType="separate"/>
          </w:r>
          <w:r>
            <w:t>31</w:t>
          </w:r>
          <w:r>
            <w:fldChar w:fldCharType="end"/>
          </w:r>
          <w:r>
            <w:fldChar w:fldCharType="end"/>
          </w:r>
        </w:p>
        <w:p>
          <w:pPr>
            <w:pStyle w:val="17"/>
            <w:tabs>
              <w:tab w:val="right" w:leader="dot" w:pos="9629"/>
            </w:tabs>
          </w:pPr>
          <w:r>
            <w:fldChar w:fldCharType="begin"/>
          </w:r>
          <w:r>
            <w:instrText xml:space="preserve"> HYPERLINK \l "_Toc124087892" </w:instrText>
          </w:r>
          <w:r>
            <w:fldChar w:fldCharType="separate"/>
          </w:r>
          <w:r>
            <w:rPr>
              <w:rStyle w:val="26"/>
              <w:rFonts w:ascii="仿宋_GB2312" w:eastAsia="仿宋_GB2312" w:hAnsiTheme="minorEastAsia"/>
            </w:rPr>
            <w:t>2.5信息技术</w:t>
          </w:r>
          <w:r>
            <w:tab/>
          </w:r>
          <w:r>
            <w:fldChar w:fldCharType="begin"/>
          </w:r>
          <w:r>
            <w:instrText xml:space="preserve"> PAGEREF _Toc124087892 \h </w:instrText>
          </w:r>
          <w:r>
            <w:fldChar w:fldCharType="separate"/>
          </w:r>
          <w:r>
            <w:t>32</w:t>
          </w:r>
          <w:r>
            <w:fldChar w:fldCharType="end"/>
          </w:r>
          <w:r>
            <w:fldChar w:fldCharType="end"/>
          </w:r>
        </w:p>
        <w:p>
          <w:pPr>
            <w:pStyle w:val="17"/>
            <w:tabs>
              <w:tab w:val="right" w:leader="dot" w:pos="9629"/>
            </w:tabs>
          </w:pPr>
          <w:r>
            <w:fldChar w:fldCharType="begin"/>
          </w:r>
          <w:r>
            <w:instrText xml:space="preserve"> HYPERLINK \l "_Toc124087893" </w:instrText>
          </w:r>
          <w:r>
            <w:fldChar w:fldCharType="separate"/>
          </w:r>
          <w:r>
            <w:rPr>
              <w:rStyle w:val="26"/>
              <w:rFonts w:ascii="仿宋_GB2312" w:eastAsia="仿宋_GB2312" w:hAnsiTheme="minorEastAsia"/>
            </w:rPr>
            <w:t>2.6教学资源</w:t>
          </w:r>
          <w:r>
            <w:tab/>
          </w:r>
          <w:r>
            <w:fldChar w:fldCharType="begin"/>
          </w:r>
          <w:r>
            <w:instrText xml:space="preserve"> PAGEREF _Toc124087893 \h </w:instrText>
          </w:r>
          <w:r>
            <w:fldChar w:fldCharType="separate"/>
          </w:r>
          <w:r>
            <w:t>34</w:t>
          </w:r>
          <w:r>
            <w:fldChar w:fldCharType="end"/>
          </w:r>
          <w:r>
            <w:fldChar w:fldCharType="end"/>
          </w:r>
        </w:p>
        <w:p>
          <w:pPr>
            <w:pStyle w:val="17"/>
            <w:tabs>
              <w:tab w:val="right" w:leader="dot" w:pos="9629"/>
            </w:tabs>
          </w:pPr>
          <w:r>
            <w:fldChar w:fldCharType="begin"/>
          </w:r>
          <w:r>
            <w:instrText xml:space="preserve"> HYPERLINK \l "_Toc124087894" </w:instrText>
          </w:r>
          <w:r>
            <w:fldChar w:fldCharType="separate"/>
          </w:r>
          <w:r>
            <w:rPr>
              <w:rStyle w:val="26"/>
              <w:rFonts w:ascii="仿宋_GB2312" w:eastAsia="仿宋_GB2312" w:hAnsiTheme="minorEastAsia"/>
            </w:rPr>
            <w:t>2.7教学研究</w:t>
          </w:r>
          <w:r>
            <w:tab/>
          </w:r>
          <w:r>
            <w:fldChar w:fldCharType="begin"/>
          </w:r>
          <w:r>
            <w:instrText xml:space="preserve"> PAGEREF _Toc124087894 \h </w:instrText>
          </w:r>
          <w:r>
            <w:fldChar w:fldCharType="separate"/>
          </w:r>
          <w:r>
            <w:t>40</w:t>
          </w:r>
          <w:r>
            <w:fldChar w:fldCharType="end"/>
          </w:r>
          <w:r>
            <w:fldChar w:fldCharType="end"/>
          </w:r>
        </w:p>
        <w:p>
          <w:pPr>
            <w:pStyle w:val="17"/>
            <w:tabs>
              <w:tab w:val="right" w:leader="dot" w:pos="9629"/>
            </w:tabs>
          </w:pPr>
          <w:r>
            <w:fldChar w:fldCharType="begin"/>
          </w:r>
          <w:r>
            <w:instrText xml:space="preserve"> HYPERLINK \l "_Toc124087895" </w:instrText>
          </w:r>
          <w:r>
            <w:fldChar w:fldCharType="separate"/>
          </w:r>
          <w:r>
            <w:rPr>
              <w:rStyle w:val="26"/>
              <w:rFonts w:ascii="仿宋_GB2312" w:eastAsia="仿宋_GB2312" w:hAnsiTheme="minorEastAsia"/>
            </w:rPr>
            <w:t>2.8特色建设</w:t>
          </w:r>
          <w:r>
            <w:tab/>
          </w:r>
          <w:r>
            <w:fldChar w:fldCharType="begin"/>
          </w:r>
          <w:r>
            <w:instrText xml:space="preserve"> PAGEREF _Toc124087895 \h </w:instrText>
          </w:r>
          <w:r>
            <w:fldChar w:fldCharType="separate"/>
          </w:r>
          <w:r>
            <w:t>42</w:t>
          </w:r>
          <w:r>
            <w:fldChar w:fldCharType="end"/>
          </w:r>
          <w:r>
            <w:fldChar w:fldCharType="end"/>
          </w:r>
        </w:p>
        <w:p>
          <w:pPr>
            <w:pStyle w:val="8"/>
            <w:tabs>
              <w:tab w:val="right" w:leader="dot" w:pos="9629"/>
            </w:tabs>
          </w:pPr>
          <w:r>
            <w:fldChar w:fldCharType="begin"/>
          </w:r>
          <w:r>
            <w:instrText xml:space="preserve"> HYPERLINK \l "_Toc124087896" </w:instrText>
          </w:r>
          <w:r>
            <w:fldChar w:fldCharType="separate"/>
          </w:r>
          <w:r>
            <w:rPr>
              <w:rStyle w:val="26"/>
              <w:rFonts w:ascii="仿宋_GB2312" w:hAnsi="宋体" w:eastAsia="仿宋_GB2312"/>
              <w:b/>
            </w:rPr>
            <w:t>案例8：【新颖独特的“高博特色”课程】</w:t>
          </w:r>
          <w:r>
            <w:tab/>
          </w:r>
          <w:r>
            <w:fldChar w:fldCharType="begin"/>
          </w:r>
          <w:r>
            <w:instrText xml:space="preserve"> PAGEREF _Toc124087896 \h </w:instrText>
          </w:r>
          <w:r>
            <w:fldChar w:fldCharType="separate"/>
          </w:r>
          <w:r>
            <w:t>48</w:t>
          </w:r>
          <w:r>
            <w:fldChar w:fldCharType="end"/>
          </w:r>
          <w:r>
            <w:fldChar w:fldCharType="end"/>
          </w:r>
        </w:p>
        <w:p>
          <w:pPr>
            <w:pStyle w:val="13"/>
            <w:tabs>
              <w:tab w:val="right" w:leader="dot" w:pos="9629"/>
            </w:tabs>
          </w:pPr>
          <w:r>
            <w:fldChar w:fldCharType="begin"/>
          </w:r>
          <w:r>
            <w:instrText xml:space="preserve"> HYPERLINK \l "_Toc124087897" </w:instrText>
          </w:r>
          <w:r>
            <w:fldChar w:fldCharType="separate"/>
          </w:r>
          <w:r>
            <w:rPr>
              <w:rStyle w:val="26"/>
              <w:rFonts w:ascii="黑体" w:hAnsi="黑体" w:eastAsia="黑体"/>
            </w:rPr>
            <w:t>3.服务贡献与政策保障</w:t>
          </w:r>
          <w:r>
            <w:tab/>
          </w:r>
          <w:r>
            <w:fldChar w:fldCharType="begin"/>
          </w:r>
          <w:r>
            <w:instrText xml:space="preserve"> PAGEREF _Toc124087897 \h </w:instrText>
          </w:r>
          <w:r>
            <w:fldChar w:fldCharType="separate"/>
          </w:r>
          <w:r>
            <w:t>49</w:t>
          </w:r>
          <w:r>
            <w:fldChar w:fldCharType="end"/>
          </w:r>
          <w:r>
            <w:fldChar w:fldCharType="end"/>
          </w:r>
        </w:p>
        <w:p>
          <w:pPr>
            <w:pStyle w:val="17"/>
            <w:tabs>
              <w:tab w:val="right" w:leader="dot" w:pos="9629"/>
            </w:tabs>
          </w:pPr>
          <w:r>
            <w:fldChar w:fldCharType="begin"/>
          </w:r>
          <w:r>
            <w:instrText xml:space="preserve"> HYPERLINK \l "_Toc124087898" </w:instrText>
          </w:r>
          <w:r>
            <w:fldChar w:fldCharType="separate"/>
          </w:r>
          <w:r>
            <w:rPr>
              <w:rStyle w:val="26"/>
              <w:rFonts w:ascii="仿宋_GB2312" w:eastAsia="仿宋_GB2312" w:hAnsiTheme="minorEastAsia"/>
            </w:rPr>
            <w:t>3.1培训服务</w:t>
          </w:r>
          <w:r>
            <w:tab/>
          </w:r>
          <w:r>
            <w:fldChar w:fldCharType="begin"/>
          </w:r>
          <w:r>
            <w:instrText xml:space="preserve"> PAGEREF _Toc124087898 \h </w:instrText>
          </w:r>
          <w:r>
            <w:fldChar w:fldCharType="separate"/>
          </w:r>
          <w:r>
            <w:t>50</w:t>
          </w:r>
          <w:r>
            <w:fldChar w:fldCharType="end"/>
          </w:r>
          <w:r>
            <w:fldChar w:fldCharType="end"/>
          </w:r>
        </w:p>
        <w:p>
          <w:pPr>
            <w:pStyle w:val="17"/>
            <w:tabs>
              <w:tab w:val="right" w:leader="dot" w:pos="9629"/>
            </w:tabs>
          </w:pPr>
          <w:r>
            <w:fldChar w:fldCharType="begin"/>
          </w:r>
          <w:r>
            <w:instrText xml:space="preserve"> HYPERLINK \l "_Toc124087899" </w:instrText>
          </w:r>
          <w:r>
            <w:fldChar w:fldCharType="separate"/>
          </w:r>
          <w:r>
            <w:rPr>
              <w:rStyle w:val="26"/>
              <w:rFonts w:ascii="仿宋_GB2312" w:eastAsia="仿宋_GB2312" w:hAnsiTheme="minorEastAsia"/>
            </w:rPr>
            <w:t>3.2科技工作</w:t>
          </w:r>
          <w:r>
            <w:tab/>
          </w:r>
          <w:r>
            <w:fldChar w:fldCharType="begin"/>
          </w:r>
          <w:r>
            <w:instrText xml:space="preserve"> PAGEREF _Toc124087899 \h </w:instrText>
          </w:r>
          <w:r>
            <w:fldChar w:fldCharType="separate"/>
          </w:r>
          <w:r>
            <w:t>51</w:t>
          </w:r>
          <w:r>
            <w:fldChar w:fldCharType="end"/>
          </w:r>
          <w:r>
            <w:fldChar w:fldCharType="end"/>
          </w:r>
        </w:p>
        <w:p>
          <w:pPr>
            <w:pStyle w:val="8"/>
            <w:tabs>
              <w:tab w:val="right" w:leader="dot" w:pos="9629"/>
            </w:tabs>
          </w:pPr>
          <w:r>
            <w:fldChar w:fldCharType="begin"/>
          </w:r>
          <w:r>
            <w:instrText xml:space="preserve"> HYPERLINK \l "_Toc124087900" </w:instrText>
          </w:r>
          <w:r>
            <w:fldChar w:fldCharType="separate"/>
          </w:r>
          <w:r>
            <w:rPr>
              <w:rStyle w:val="26"/>
              <w:rFonts w:ascii="仿宋_GB2312" w:hAnsi="宋体" w:eastAsia="仿宋_GB2312"/>
              <w:b/>
            </w:rPr>
            <w:t>案例9：【民办高职院的无人机技术重点实验室建设】</w:t>
          </w:r>
          <w:r>
            <w:tab/>
          </w:r>
          <w:r>
            <w:fldChar w:fldCharType="begin"/>
          </w:r>
          <w:r>
            <w:instrText xml:space="preserve"> PAGEREF _Toc124087900 \h </w:instrText>
          </w:r>
          <w:r>
            <w:fldChar w:fldCharType="separate"/>
          </w:r>
          <w:r>
            <w:t>52</w:t>
          </w:r>
          <w:r>
            <w:fldChar w:fldCharType="end"/>
          </w:r>
          <w:r>
            <w:fldChar w:fldCharType="end"/>
          </w:r>
        </w:p>
        <w:p>
          <w:pPr>
            <w:pStyle w:val="17"/>
            <w:tabs>
              <w:tab w:val="right" w:leader="dot" w:pos="9629"/>
            </w:tabs>
          </w:pPr>
          <w:r>
            <w:fldChar w:fldCharType="begin"/>
          </w:r>
          <w:r>
            <w:instrText xml:space="preserve"> HYPERLINK \l "_Toc124087901" </w:instrText>
          </w:r>
          <w:r>
            <w:fldChar w:fldCharType="separate"/>
          </w:r>
          <w:r>
            <w:rPr>
              <w:rStyle w:val="26"/>
              <w:rFonts w:ascii="仿宋_GB2312" w:eastAsia="仿宋_GB2312" w:hAnsiTheme="minorEastAsia"/>
            </w:rPr>
            <w:t>3.3校企合作</w:t>
          </w:r>
          <w:r>
            <w:tab/>
          </w:r>
          <w:r>
            <w:fldChar w:fldCharType="begin"/>
          </w:r>
          <w:r>
            <w:instrText xml:space="preserve"> PAGEREF _Toc124087901 \h </w:instrText>
          </w:r>
          <w:r>
            <w:fldChar w:fldCharType="separate"/>
          </w:r>
          <w:r>
            <w:t>53</w:t>
          </w:r>
          <w:r>
            <w:fldChar w:fldCharType="end"/>
          </w:r>
          <w:r>
            <w:fldChar w:fldCharType="end"/>
          </w:r>
        </w:p>
        <w:p>
          <w:pPr>
            <w:pStyle w:val="8"/>
            <w:tabs>
              <w:tab w:val="right" w:leader="dot" w:pos="9629"/>
            </w:tabs>
          </w:pPr>
          <w:r>
            <w:fldChar w:fldCharType="begin"/>
          </w:r>
          <w:r>
            <w:instrText xml:space="preserve"> HYPERLINK \l "_Toc124087902" </w:instrText>
          </w:r>
          <w:r>
            <w:fldChar w:fldCharType="separate"/>
          </w:r>
          <w:r>
            <w:rPr>
              <w:rStyle w:val="26"/>
              <w:rFonts w:ascii="仿宋_GB2312" w:hAnsi="宋体" w:eastAsia="仿宋_GB2312"/>
              <w:b/>
            </w:rPr>
            <w:t>案例10：【校企联动构建“企业学院”育人新模式】</w:t>
          </w:r>
          <w:r>
            <w:tab/>
          </w:r>
          <w:r>
            <w:fldChar w:fldCharType="begin"/>
          </w:r>
          <w:r>
            <w:instrText xml:space="preserve"> PAGEREF _Toc124087902 \h </w:instrText>
          </w:r>
          <w:r>
            <w:fldChar w:fldCharType="separate"/>
          </w:r>
          <w:r>
            <w:t>57</w:t>
          </w:r>
          <w:r>
            <w:fldChar w:fldCharType="end"/>
          </w:r>
          <w:r>
            <w:fldChar w:fldCharType="end"/>
          </w:r>
        </w:p>
        <w:p>
          <w:pPr>
            <w:pStyle w:val="17"/>
            <w:tabs>
              <w:tab w:val="right" w:leader="dot" w:pos="9629"/>
            </w:tabs>
          </w:pPr>
          <w:r>
            <w:fldChar w:fldCharType="begin"/>
          </w:r>
          <w:r>
            <w:instrText xml:space="preserve"> HYPERLINK \l "_Toc124087903" </w:instrText>
          </w:r>
          <w:r>
            <w:fldChar w:fldCharType="separate"/>
          </w:r>
          <w:r>
            <w:rPr>
              <w:rStyle w:val="26"/>
              <w:rFonts w:ascii="仿宋_GB2312" w:eastAsia="仿宋_GB2312" w:hAnsiTheme="minorEastAsia"/>
            </w:rPr>
            <w:t>3.4质量管理</w:t>
          </w:r>
          <w:r>
            <w:tab/>
          </w:r>
          <w:r>
            <w:fldChar w:fldCharType="begin"/>
          </w:r>
          <w:r>
            <w:instrText xml:space="preserve"> PAGEREF _Toc124087903 \h </w:instrText>
          </w:r>
          <w:r>
            <w:fldChar w:fldCharType="separate"/>
          </w:r>
          <w:r>
            <w:t>58</w:t>
          </w:r>
          <w:r>
            <w:fldChar w:fldCharType="end"/>
          </w:r>
          <w:r>
            <w:fldChar w:fldCharType="end"/>
          </w:r>
        </w:p>
        <w:p>
          <w:pPr>
            <w:pStyle w:val="17"/>
            <w:tabs>
              <w:tab w:val="right" w:leader="dot" w:pos="9629"/>
            </w:tabs>
          </w:pPr>
          <w:r>
            <w:fldChar w:fldCharType="begin"/>
          </w:r>
          <w:r>
            <w:instrText xml:space="preserve"> HYPERLINK \l "_Toc124087904" </w:instrText>
          </w:r>
          <w:r>
            <w:fldChar w:fldCharType="separate"/>
          </w:r>
          <w:r>
            <w:rPr>
              <w:rStyle w:val="26"/>
              <w:rFonts w:ascii="仿宋_GB2312" w:eastAsia="仿宋_GB2312" w:hAnsiTheme="minorEastAsia"/>
            </w:rPr>
            <w:t>3.5学校治理</w:t>
          </w:r>
          <w:r>
            <w:tab/>
          </w:r>
          <w:r>
            <w:fldChar w:fldCharType="begin"/>
          </w:r>
          <w:r>
            <w:instrText xml:space="preserve"> PAGEREF _Toc124087904 \h </w:instrText>
          </w:r>
          <w:r>
            <w:fldChar w:fldCharType="separate"/>
          </w:r>
          <w:r>
            <w:t>61</w:t>
          </w:r>
          <w:r>
            <w:fldChar w:fldCharType="end"/>
          </w:r>
          <w:r>
            <w:fldChar w:fldCharType="end"/>
          </w:r>
        </w:p>
        <w:p>
          <w:pPr>
            <w:pStyle w:val="13"/>
            <w:tabs>
              <w:tab w:val="right" w:leader="dot" w:pos="9629"/>
            </w:tabs>
          </w:pPr>
          <w:r>
            <w:fldChar w:fldCharType="begin"/>
          </w:r>
          <w:r>
            <w:instrText xml:space="preserve"> HYPERLINK \l "_Toc124087905" </w:instrText>
          </w:r>
          <w:r>
            <w:fldChar w:fldCharType="separate"/>
          </w:r>
          <w:r>
            <w:rPr>
              <w:rStyle w:val="26"/>
              <w:rFonts w:ascii="黑体" w:hAnsi="黑体" w:eastAsia="黑体"/>
            </w:rPr>
            <w:t>4.国际交流</w:t>
          </w:r>
          <w:r>
            <w:tab/>
          </w:r>
          <w:r>
            <w:fldChar w:fldCharType="begin"/>
          </w:r>
          <w:r>
            <w:instrText xml:space="preserve"> PAGEREF _Toc124087905 \h </w:instrText>
          </w:r>
          <w:r>
            <w:fldChar w:fldCharType="separate"/>
          </w:r>
          <w:r>
            <w:t>63</w:t>
          </w:r>
          <w:r>
            <w:fldChar w:fldCharType="end"/>
          </w:r>
          <w:r>
            <w:fldChar w:fldCharType="end"/>
          </w:r>
        </w:p>
        <w:p>
          <w:pPr>
            <w:pStyle w:val="17"/>
            <w:tabs>
              <w:tab w:val="right" w:leader="dot" w:pos="9629"/>
            </w:tabs>
          </w:pPr>
          <w:r>
            <w:fldChar w:fldCharType="begin"/>
          </w:r>
          <w:r>
            <w:instrText xml:space="preserve"> HYPERLINK \l "_Toc124087906" </w:instrText>
          </w:r>
          <w:r>
            <w:fldChar w:fldCharType="separate"/>
          </w:r>
          <w:r>
            <w:rPr>
              <w:rStyle w:val="26"/>
              <w:rFonts w:ascii="仿宋_GB2312" w:eastAsia="仿宋_GB2312" w:hAnsiTheme="minorEastAsia"/>
            </w:rPr>
            <w:t>4.1留学生规模</w:t>
          </w:r>
          <w:r>
            <w:tab/>
          </w:r>
          <w:r>
            <w:fldChar w:fldCharType="begin"/>
          </w:r>
          <w:r>
            <w:instrText xml:space="preserve"> PAGEREF _Toc124087906 \h </w:instrText>
          </w:r>
          <w:r>
            <w:fldChar w:fldCharType="separate"/>
          </w:r>
          <w:r>
            <w:t>64</w:t>
          </w:r>
          <w:r>
            <w:fldChar w:fldCharType="end"/>
          </w:r>
          <w:r>
            <w:fldChar w:fldCharType="end"/>
          </w:r>
        </w:p>
        <w:p>
          <w:pPr>
            <w:pStyle w:val="17"/>
            <w:tabs>
              <w:tab w:val="right" w:leader="dot" w:pos="9629"/>
            </w:tabs>
          </w:pPr>
          <w:r>
            <w:fldChar w:fldCharType="begin"/>
          </w:r>
          <w:r>
            <w:instrText xml:space="preserve"> HYPERLINK \l "_Toc124087907" </w:instrText>
          </w:r>
          <w:r>
            <w:fldChar w:fldCharType="separate"/>
          </w:r>
          <w:r>
            <w:rPr>
              <w:rStyle w:val="26"/>
              <w:rFonts w:ascii="仿宋_GB2312" w:eastAsia="仿宋_GB2312" w:hAnsiTheme="minorEastAsia"/>
            </w:rPr>
            <w:t>4.2中外合作项目</w:t>
          </w:r>
          <w:r>
            <w:tab/>
          </w:r>
          <w:r>
            <w:fldChar w:fldCharType="begin"/>
          </w:r>
          <w:r>
            <w:instrText xml:space="preserve"> PAGEREF _Toc124087907 \h </w:instrText>
          </w:r>
          <w:r>
            <w:fldChar w:fldCharType="separate"/>
          </w:r>
          <w:r>
            <w:t>65</w:t>
          </w:r>
          <w:r>
            <w:fldChar w:fldCharType="end"/>
          </w:r>
          <w:r>
            <w:fldChar w:fldCharType="end"/>
          </w:r>
        </w:p>
        <w:p>
          <w:pPr>
            <w:pStyle w:val="8"/>
            <w:tabs>
              <w:tab w:val="right" w:leader="dot" w:pos="9629"/>
            </w:tabs>
          </w:pPr>
          <w:r>
            <w:fldChar w:fldCharType="begin"/>
          </w:r>
          <w:r>
            <w:instrText xml:space="preserve"> HYPERLINK \l "_Toc124087908" </w:instrText>
          </w:r>
          <w:r>
            <w:fldChar w:fldCharType="separate"/>
          </w:r>
          <w:r>
            <w:rPr>
              <w:rStyle w:val="26"/>
              <w:rFonts w:ascii="仿宋_GB2312" w:hAnsi="宋体" w:eastAsia="仿宋_GB2312"/>
              <w:b/>
            </w:rPr>
            <w:t>案例11：【疫情挑战下的国际人才合作培养】</w:t>
          </w:r>
          <w:r>
            <w:tab/>
          </w:r>
          <w:r>
            <w:fldChar w:fldCharType="begin"/>
          </w:r>
          <w:r>
            <w:instrText xml:space="preserve"> PAGEREF _Toc124087908 \h </w:instrText>
          </w:r>
          <w:r>
            <w:fldChar w:fldCharType="separate"/>
          </w:r>
          <w:r>
            <w:t>65</w:t>
          </w:r>
          <w:r>
            <w:fldChar w:fldCharType="end"/>
          </w:r>
          <w:r>
            <w:fldChar w:fldCharType="end"/>
          </w:r>
        </w:p>
        <w:p>
          <w:pPr>
            <w:pStyle w:val="13"/>
            <w:tabs>
              <w:tab w:val="right" w:leader="dot" w:pos="9629"/>
            </w:tabs>
          </w:pPr>
          <w:r>
            <w:fldChar w:fldCharType="begin"/>
          </w:r>
          <w:r>
            <w:instrText xml:space="preserve"> HYPERLINK \l "_Toc124087909" </w:instrText>
          </w:r>
          <w:r>
            <w:fldChar w:fldCharType="separate"/>
          </w:r>
          <w:r>
            <w:rPr>
              <w:rStyle w:val="26"/>
              <w:rFonts w:ascii="黑体" w:hAnsi="黑体" w:eastAsia="黑体"/>
            </w:rPr>
            <w:t>5.面临挑战</w:t>
          </w:r>
          <w:r>
            <w:tab/>
          </w:r>
          <w:r>
            <w:fldChar w:fldCharType="begin"/>
          </w:r>
          <w:r>
            <w:instrText xml:space="preserve"> PAGEREF _Toc124087909 \h </w:instrText>
          </w:r>
          <w:r>
            <w:fldChar w:fldCharType="separate"/>
          </w:r>
          <w:r>
            <w:t>66</w:t>
          </w:r>
          <w:r>
            <w:fldChar w:fldCharType="end"/>
          </w:r>
          <w:r>
            <w:fldChar w:fldCharType="end"/>
          </w:r>
        </w:p>
        <w:p>
          <w:pPr>
            <w:pStyle w:val="17"/>
            <w:tabs>
              <w:tab w:val="right" w:leader="dot" w:pos="9629"/>
            </w:tabs>
          </w:pPr>
          <w:r>
            <w:fldChar w:fldCharType="begin"/>
          </w:r>
          <w:r>
            <w:instrText xml:space="preserve"> HYPERLINK \l "_Toc124087910" </w:instrText>
          </w:r>
          <w:r>
            <w:fldChar w:fldCharType="separate"/>
          </w:r>
          <w:r>
            <w:rPr>
              <w:rStyle w:val="26"/>
              <w:rFonts w:ascii="仿宋_GB2312" w:eastAsia="仿宋_GB2312" w:hAnsiTheme="minorEastAsia"/>
            </w:rPr>
            <w:t>5.1 主要问题</w:t>
          </w:r>
          <w:r>
            <w:tab/>
          </w:r>
          <w:r>
            <w:fldChar w:fldCharType="begin"/>
          </w:r>
          <w:r>
            <w:instrText xml:space="preserve"> PAGEREF _Toc124087910 \h </w:instrText>
          </w:r>
          <w:r>
            <w:fldChar w:fldCharType="separate"/>
          </w:r>
          <w:r>
            <w:t>66</w:t>
          </w:r>
          <w:r>
            <w:fldChar w:fldCharType="end"/>
          </w:r>
          <w:r>
            <w:fldChar w:fldCharType="end"/>
          </w:r>
        </w:p>
        <w:p>
          <w:pPr>
            <w:pStyle w:val="17"/>
            <w:tabs>
              <w:tab w:val="right" w:leader="dot" w:pos="9629"/>
            </w:tabs>
          </w:pPr>
          <w:r>
            <w:fldChar w:fldCharType="begin"/>
          </w:r>
          <w:r>
            <w:instrText xml:space="preserve"> HYPERLINK \l "_Toc124087911" </w:instrText>
          </w:r>
          <w:r>
            <w:fldChar w:fldCharType="separate"/>
          </w:r>
          <w:r>
            <w:rPr>
              <w:rStyle w:val="26"/>
              <w:rFonts w:ascii="仿宋_GB2312" w:eastAsia="仿宋_GB2312" w:hAnsiTheme="minorEastAsia"/>
            </w:rPr>
            <w:t>5.2 主要对策</w:t>
          </w:r>
          <w:r>
            <w:tab/>
          </w:r>
          <w:r>
            <w:fldChar w:fldCharType="begin"/>
          </w:r>
          <w:r>
            <w:instrText xml:space="preserve"> PAGEREF _Toc124087911 \h </w:instrText>
          </w:r>
          <w:r>
            <w:fldChar w:fldCharType="separate"/>
          </w:r>
          <w:r>
            <w:t>67</w:t>
          </w:r>
          <w:r>
            <w:fldChar w:fldCharType="end"/>
          </w:r>
          <w:r>
            <w:fldChar w:fldCharType="end"/>
          </w:r>
        </w:p>
        <w:p>
          <w:pPr>
            <w:pStyle w:val="13"/>
            <w:tabs>
              <w:tab w:val="right" w:leader="dot" w:pos="9629"/>
            </w:tabs>
            <w:rPr>
              <w:rStyle w:val="26"/>
            </w:rPr>
          </w:pPr>
          <w:r>
            <w:fldChar w:fldCharType="begin"/>
          </w:r>
          <w:r>
            <w:instrText xml:space="preserve"> HYPERLINK \l "_Toc124087912" </w:instrText>
          </w:r>
          <w:r>
            <w:fldChar w:fldCharType="separate"/>
          </w:r>
          <w:r>
            <w:rPr>
              <w:rStyle w:val="26"/>
              <w:rFonts w:ascii="华文楷体" w:hAnsi="华文楷体" w:eastAsia="华文楷体"/>
            </w:rPr>
            <w:t>附录：高等职业教育质量年度报告指标附表</w:t>
          </w:r>
          <w:r>
            <w:tab/>
          </w:r>
          <w:r>
            <w:fldChar w:fldCharType="begin"/>
          </w:r>
          <w:r>
            <w:instrText xml:space="preserve"> PAGEREF _Toc124087912 \h </w:instrText>
          </w:r>
          <w:r>
            <w:fldChar w:fldCharType="separate"/>
          </w:r>
          <w:r>
            <w:t>70</w:t>
          </w:r>
          <w:r>
            <w:fldChar w:fldCharType="end"/>
          </w:r>
          <w:r>
            <w:fldChar w:fldCharType="end"/>
          </w:r>
        </w:p>
        <w:p/>
        <w:p/>
        <w:p>
          <w:pPr>
            <w:spacing w:line="340" w:lineRule="exact"/>
            <w:rPr>
              <w:rFonts w:ascii="仿宋" w:hAnsi="仿宋" w:eastAsia="仿宋"/>
              <w:sz w:val="24"/>
              <w:szCs w:val="24"/>
              <w:lang w:val="zh-CN"/>
            </w:rPr>
            <w:sectPr>
              <w:footerReference r:id="rId8" w:type="first"/>
              <w:footerReference r:id="rId7" w:type="default"/>
              <w:pgSz w:w="11907" w:h="16840"/>
              <w:pgMar w:top="1134" w:right="1134" w:bottom="1134" w:left="1134" w:header="0" w:footer="0" w:gutter="0"/>
              <w:pgNumType w:start="1"/>
              <w:cols w:space="425" w:num="1"/>
              <w:titlePg/>
              <w:docGrid w:type="lines" w:linePitch="312" w:charSpace="0"/>
            </w:sectPr>
          </w:pPr>
          <w:r>
            <w:rPr>
              <w:rFonts w:hint="eastAsia" w:ascii="仿宋" w:hAnsi="仿宋" w:eastAsia="仿宋"/>
              <w:sz w:val="24"/>
              <w:szCs w:val="24"/>
              <w:lang w:val="zh-CN"/>
            </w:rPr>
            <w:fldChar w:fldCharType="end"/>
          </w:r>
        </w:p>
      </w:sdtContent>
    </w:sdt>
    <w:p>
      <w:pPr>
        <w:pStyle w:val="33"/>
        <w:tabs>
          <w:tab w:val="left" w:pos="675"/>
          <w:tab w:val="left" w:pos="990"/>
          <w:tab w:val="left" w:pos="1680"/>
          <w:tab w:val="center" w:pos="4819"/>
        </w:tabs>
        <w:spacing w:before="0"/>
        <w:rPr>
          <w:b w:val="0"/>
          <w:color w:val="000000" w:themeColor="text1"/>
          <w:sz w:val="44"/>
          <w:szCs w:val="44"/>
          <w:lang w:val="zh-CN"/>
        </w:rPr>
      </w:pPr>
      <w:bookmarkStart w:id="1" w:name="_Toc533519395"/>
      <w:bookmarkStart w:id="2" w:name="_Toc500492272"/>
      <w:bookmarkStart w:id="3" w:name="_Toc532826529"/>
      <w:bookmarkStart w:id="4" w:name="_Toc124087872"/>
      <w:r>
        <w:rPr>
          <w:rFonts w:asciiTheme="minorHAnsi" w:hAnsiTheme="minorHAnsi" w:eastAsiaTheme="minorEastAsia" w:cstheme="minorBidi"/>
          <w:b w:val="0"/>
          <w:bCs w:val="0"/>
          <w:color w:val="auto"/>
          <w:kern w:val="2"/>
          <w:sz w:val="21"/>
          <w:szCs w:val="22"/>
          <w:lang w:val="zh-CN"/>
        </w:rPr>
        <w:tab/>
      </w:r>
      <w:r>
        <w:rPr>
          <w:rFonts w:asciiTheme="minorHAnsi" w:hAnsiTheme="minorHAnsi" w:eastAsiaTheme="minorEastAsia" w:cstheme="minorBidi"/>
          <w:b w:val="0"/>
          <w:bCs w:val="0"/>
          <w:color w:val="auto"/>
          <w:kern w:val="2"/>
          <w:sz w:val="21"/>
          <w:szCs w:val="22"/>
          <w:lang w:val="zh-CN"/>
        </w:rPr>
        <w:tab/>
      </w:r>
      <w:r>
        <w:rPr>
          <w:rFonts w:asciiTheme="minorHAnsi" w:hAnsiTheme="minorHAnsi" w:eastAsiaTheme="minorEastAsia" w:cstheme="minorBidi"/>
          <w:b w:val="0"/>
          <w:bCs w:val="0"/>
          <w:color w:val="auto"/>
          <w:kern w:val="2"/>
          <w:sz w:val="21"/>
          <w:szCs w:val="22"/>
          <w:lang w:val="zh-CN"/>
        </w:rPr>
        <w:tab/>
      </w:r>
      <w:r>
        <w:rPr>
          <w:rFonts w:asciiTheme="minorHAnsi" w:hAnsiTheme="minorHAnsi" w:eastAsiaTheme="minorEastAsia" w:cstheme="minorBidi"/>
          <w:b w:val="0"/>
          <w:bCs w:val="0"/>
          <w:color w:val="auto"/>
          <w:kern w:val="2"/>
          <w:sz w:val="21"/>
          <w:szCs w:val="22"/>
          <w:lang w:val="zh-CN"/>
        </w:rPr>
        <w:tab/>
      </w:r>
      <w:r>
        <w:rPr>
          <w:rFonts w:hint="eastAsia"/>
          <w:b w:val="0"/>
          <w:color w:val="000000" w:themeColor="text1"/>
          <w:sz w:val="44"/>
          <w:szCs w:val="44"/>
          <w:lang w:val="zh-CN"/>
        </w:rPr>
        <w:t xml:space="preserve">图  </w:t>
      </w:r>
      <w:r>
        <w:rPr>
          <w:b w:val="0"/>
          <w:color w:val="000000" w:themeColor="text1"/>
          <w:sz w:val="44"/>
          <w:szCs w:val="44"/>
          <w:lang w:val="zh-CN"/>
        </w:rPr>
        <w:t>目</w:t>
      </w:r>
      <w:r>
        <w:rPr>
          <w:rFonts w:hint="eastAsia"/>
          <w:b w:val="0"/>
          <w:color w:val="000000" w:themeColor="text1"/>
          <w:sz w:val="44"/>
          <w:szCs w:val="44"/>
          <w:lang w:val="zh-CN"/>
        </w:rPr>
        <w:t xml:space="preserve"> </w:t>
      </w:r>
      <w:r>
        <w:rPr>
          <w:b w:val="0"/>
          <w:color w:val="000000" w:themeColor="text1"/>
          <w:sz w:val="44"/>
          <w:szCs w:val="44"/>
          <w:lang w:val="zh-CN"/>
        </w:rPr>
        <w:t xml:space="preserve"> 录</w:t>
      </w:r>
    </w:p>
    <w:p>
      <w:pPr>
        <w:rPr>
          <w:lang w:val="zh-CN"/>
        </w:rPr>
      </w:pPr>
    </w:p>
    <w:p>
      <w:pPr>
        <w:pStyle w:val="16"/>
        <w:tabs>
          <w:tab w:val="right" w:leader="dot" w:pos="9629"/>
        </w:tabs>
        <w:ind w:left="980" w:hanging="560"/>
      </w:pPr>
      <w:r>
        <w:rPr>
          <w:rFonts w:ascii="仿宋_GB2312" w:eastAsia="仿宋_GB2312" w:hAnsiTheme="minorEastAsia"/>
          <w:sz w:val="28"/>
          <w:szCs w:val="28"/>
        </w:rPr>
        <w:fldChar w:fldCharType="begin"/>
      </w:r>
      <w:r>
        <w:rPr>
          <w:rFonts w:ascii="仿宋_GB2312" w:eastAsia="仿宋_GB2312" w:hAnsiTheme="minorEastAsia"/>
          <w:sz w:val="28"/>
          <w:szCs w:val="28"/>
        </w:rPr>
        <w:instrText xml:space="preserve"> TOC \h \z \c "图1." </w:instrText>
      </w:r>
      <w:r>
        <w:rPr>
          <w:rFonts w:ascii="仿宋_GB2312" w:eastAsia="仿宋_GB2312" w:hAnsiTheme="minorEastAsia"/>
          <w:sz w:val="28"/>
          <w:szCs w:val="28"/>
        </w:rPr>
        <w:fldChar w:fldCharType="separate"/>
      </w:r>
      <w:r>
        <w:fldChar w:fldCharType="begin"/>
      </w:r>
      <w:r>
        <w:instrText xml:space="preserve"> HYPERLINK \l "_Toc124169679" </w:instrText>
      </w:r>
      <w:r>
        <w:fldChar w:fldCharType="separate"/>
      </w:r>
      <w:r>
        <w:rPr>
          <w:rStyle w:val="26"/>
          <w:rFonts w:ascii="仿宋_GB2312" w:eastAsia="仿宋_GB2312"/>
          <w:b/>
        </w:rPr>
        <w:t>图1. 1 青年教师党员组成“党员服务站”</w:t>
      </w:r>
      <w:r>
        <w:tab/>
      </w:r>
      <w:r>
        <w:fldChar w:fldCharType="begin"/>
      </w:r>
      <w:r>
        <w:instrText xml:space="preserve"> PAGEREF _Toc124169679 \h </w:instrText>
      </w:r>
      <w:r>
        <w:fldChar w:fldCharType="separate"/>
      </w:r>
      <w:r>
        <w:t>3</w:t>
      </w:r>
      <w:r>
        <w:fldChar w:fldCharType="end"/>
      </w:r>
      <w:r>
        <w:fldChar w:fldCharType="end"/>
      </w:r>
    </w:p>
    <w:p>
      <w:pPr>
        <w:pStyle w:val="16"/>
        <w:tabs>
          <w:tab w:val="right" w:leader="dot" w:pos="9629"/>
        </w:tabs>
        <w:ind w:left="840" w:hanging="420"/>
      </w:pPr>
      <w:r>
        <w:fldChar w:fldCharType="begin"/>
      </w:r>
      <w:r>
        <w:instrText xml:space="preserve"> HYPERLINK \l "_Toc124169680" </w:instrText>
      </w:r>
      <w:r>
        <w:fldChar w:fldCharType="separate"/>
      </w:r>
      <w:r>
        <w:rPr>
          <w:rStyle w:val="26"/>
          <w:rFonts w:ascii="仿宋_GB2312" w:eastAsia="仿宋_GB2312"/>
          <w:b/>
        </w:rPr>
        <w:t>图1. 2 护理专业学生授帽仪式</w:t>
      </w:r>
      <w:r>
        <w:tab/>
      </w:r>
      <w:r>
        <w:fldChar w:fldCharType="begin"/>
      </w:r>
      <w:r>
        <w:instrText xml:space="preserve"> PAGEREF _Toc124169680 \h </w:instrText>
      </w:r>
      <w:r>
        <w:fldChar w:fldCharType="separate"/>
      </w:r>
      <w:r>
        <w:t>3</w:t>
      </w:r>
      <w:r>
        <w:fldChar w:fldCharType="end"/>
      </w:r>
      <w:r>
        <w:fldChar w:fldCharType="end"/>
      </w:r>
    </w:p>
    <w:p>
      <w:pPr>
        <w:pStyle w:val="16"/>
        <w:tabs>
          <w:tab w:val="right" w:leader="dot" w:pos="9629"/>
        </w:tabs>
        <w:ind w:left="840" w:hanging="420"/>
      </w:pPr>
      <w:r>
        <w:fldChar w:fldCharType="begin"/>
      </w:r>
      <w:r>
        <w:instrText xml:space="preserve"> HYPERLINK \l "_Toc124169681" </w:instrText>
      </w:r>
      <w:r>
        <w:fldChar w:fldCharType="separate"/>
      </w:r>
      <w:r>
        <w:rPr>
          <w:rStyle w:val="26"/>
          <w:rFonts w:ascii="仿宋_GB2312" w:eastAsia="仿宋_GB2312"/>
          <w:b/>
        </w:rPr>
        <w:t>图1. 3 师生党员重温入党誓词</w:t>
      </w:r>
      <w:r>
        <w:tab/>
      </w:r>
      <w:r>
        <w:fldChar w:fldCharType="begin"/>
      </w:r>
      <w:r>
        <w:instrText xml:space="preserve"> PAGEREF _Toc124169681 \h </w:instrText>
      </w:r>
      <w:r>
        <w:fldChar w:fldCharType="separate"/>
      </w:r>
      <w:r>
        <w:t>4</w:t>
      </w:r>
      <w:r>
        <w:fldChar w:fldCharType="end"/>
      </w:r>
      <w:r>
        <w:fldChar w:fldCharType="end"/>
      </w:r>
    </w:p>
    <w:p>
      <w:pPr>
        <w:pStyle w:val="16"/>
        <w:tabs>
          <w:tab w:val="right" w:leader="dot" w:pos="9629"/>
        </w:tabs>
        <w:ind w:left="840" w:hanging="420"/>
      </w:pPr>
      <w:r>
        <w:fldChar w:fldCharType="begin"/>
      </w:r>
      <w:r>
        <w:instrText xml:space="preserve"> HYPERLINK \l "_Toc124169682" </w:instrText>
      </w:r>
      <w:r>
        <w:fldChar w:fldCharType="separate"/>
      </w:r>
      <w:r>
        <w:rPr>
          <w:rStyle w:val="26"/>
          <w:rFonts w:ascii="仿宋_GB2312" w:eastAsia="仿宋_GB2312"/>
          <w:b/>
        </w:rPr>
        <w:t>图1. 4 护理专业学生志愿服务现场</w:t>
      </w:r>
      <w:r>
        <w:tab/>
      </w:r>
      <w:r>
        <w:fldChar w:fldCharType="begin"/>
      </w:r>
      <w:r>
        <w:instrText xml:space="preserve"> PAGEREF _Toc124169682 \h </w:instrText>
      </w:r>
      <w:r>
        <w:fldChar w:fldCharType="separate"/>
      </w:r>
      <w:r>
        <w:t>4</w:t>
      </w:r>
      <w:r>
        <w:fldChar w:fldCharType="end"/>
      </w:r>
      <w:r>
        <w:fldChar w:fldCharType="end"/>
      </w:r>
    </w:p>
    <w:p>
      <w:pPr>
        <w:pStyle w:val="16"/>
        <w:tabs>
          <w:tab w:val="right" w:leader="dot" w:pos="9629"/>
        </w:tabs>
        <w:ind w:left="840" w:hanging="420"/>
      </w:pPr>
      <w:r>
        <w:fldChar w:fldCharType="begin"/>
      </w:r>
      <w:r>
        <w:instrText xml:space="preserve"> HYPERLINK \l "_Toc124169683" </w:instrText>
      </w:r>
      <w:r>
        <w:fldChar w:fldCharType="separate"/>
      </w:r>
      <w:r>
        <w:rPr>
          <w:rStyle w:val="26"/>
          <w:rFonts w:ascii="仿宋_GB2312" w:eastAsia="仿宋_GB2312"/>
          <w:b/>
        </w:rPr>
        <w:t>图1. 5 校党委书记讲授党课</w:t>
      </w:r>
      <w:r>
        <w:tab/>
      </w:r>
      <w:r>
        <w:fldChar w:fldCharType="begin"/>
      </w:r>
      <w:r>
        <w:instrText xml:space="preserve"> PAGEREF _Toc124169683 \h </w:instrText>
      </w:r>
      <w:r>
        <w:fldChar w:fldCharType="separate"/>
      </w:r>
      <w:r>
        <w:t>5</w:t>
      </w:r>
      <w:r>
        <w:fldChar w:fldCharType="end"/>
      </w:r>
      <w:r>
        <w:fldChar w:fldCharType="end"/>
      </w:r>
    </w:p>
    <w:p>
      <w:pPr>
        <w:pStyle w:val="16"/>
        <w:tabs>
          <w:tab w:val="right" w:leader="dot" w:pos="9629"/>
        </w:tabs>
        <w:ind w:left="840" w:hanging="420"/>
      </w:pPr>
      <w:r>
        <w:fldChar w:fldCharType="begin"/>
      </w:r>
      <w:r>
        <w:instrText xml:space="preserve"> HYPERLINK \l "_Toc124169684" </w:instrText>
      </w:r>
      <w:r>
        <w:fldChar w:fldCharType="separate"/>
      </w:r>
      <w:r>
        <w:rPr>
          <w:rStyle w:val="26"/>
          <w:rFonts w:ascii="仿宋_GB2312" w:eastAsia="仿宋_GB2312"/>
          <w:b/>
        </w:rPr>
        <w:t>图1. 6 同苏州大学共建马克思主义学院</w:t>
      </w:r>
      <w:r>
        <w:tab/>
      </w:r>
      <w:r>
        <w:fldChar w:fldCharType="begin"/>
      </w:r>
      <w:r>
        <w:instrText xml:space="preserve"> PAGEREF _Toc124169684 \h </w:instrText>
      </w:r>
      <w:r>
        <w:fldChar w:fldCharType="separate"/>
      </w:r>
      <w:r>
        <w:t>6</w:t>
      </w:r>
      <w:r>
        <w:fldChar w:fldCharType="end"/>
      </w:r>
      <w:r>
        <w:fldChar w:fldCharType="end"/>
      </w:r>
    </w:p>
    <w:p>
      <w:pPr>
        <w:pStyle w:val="16"/>
        <w:tabs>
          <w:tab w:val="right" w:leader="dot" w:pos="9629"/>
        </w:tabs>
        <w:ind w:left="840" w:hanging="420"/>
      </w:pPr>
      <w:r>
        <w:fldChar w:fldCharType="begin"/>
      </w:r>
      <w:r>
        <w:instrText xml:space="preserve"> HYPERLINK \l "_Toc124169685" </w:instrText>
      </w:r>
      <w:r>
        <w:fldChar w:fldCharType="separate"/>
      </w:r>
      <w:r>
        <w:rPr>
          <w:rStyle w:val="26"/>
          <w:rFonts w:ascii="仿宋_GB2312" w:eastAsia="仿宋_GB2312"/>
          <w:b/>
        </w:rPr>
        <w:t>图1. 7 “师德师风”承诺书签订活动</w:t>
      </w:r>
      <w:r>
        <w:tab/>
      </w:r>
      <w:r>
        <w:fldChar w:fldCharType="begin"/>
      </w:r>
      <w:r>
        <w:instrText xml:space="preserve"> PAGEREF _Toc124169685 \h </w:instrText>
      </w:r>
      <w:r>
        <w:fldChar w:fldCharType="separate"/>
      </w:r>
      <w:r>
        <w:t>9</w:t>
      </w:r>
      <w:r>
        <w:fldChar w:fldCharType="end"/>
      </w:r>
      <w:r>
        <w:fldChar w:fldCharType="end"/>
      </w:r>
    </w:p>
    <w:p>
      <w:pPr>
        <w:pStyle w:val="16"/>
        <w:tabs>
          <w:tab w:val="right" w:leader="dot" w:pos="9629"/>
        </w:tabs>
        <w:ind w:left="840" w:hanging="420"/>
      </w:pPr>
      <w:r>
        <w:fldChar w:fldCharType="begin"/>
      </w:r>
      <w:r>
        <w:instrText xml:space="preserve"> HYPERLINK \l "_Toc124169686" </w:instrText>
      </w:r>
      <w:r>
        <w:fldChar w:fldCharType="separate"/>
      </w:r>
      <w:r>
        <w:rPr>
          <w:rStyle w:val="26"/>
          <w:rFonts w:ascii="仿宋_GB2312" w:eastAsia="仿宋_GB2312"/>
          <w:b/>
        </w:rPr>
        <w:t>图1. 8 “师德师风”模范评议活动</w:t>
      </w:r>
      <w:r>
        <w:tab/>
      </w:r>
      <w:r>
        <w:fldChar w:fldCharType="begin"/>
      </w:r>
      <w:r>
        <w:instrText xml:space="preserve"> PAGEREF _Toc124169686 \h </w:instrText>
      </w:r>
      <w:r>
        <w:fldChar w:fldCharType="separate"/>
      </w:r>
      <w:r>
        <w:t>9</w:t>
      </w:r>
      <w:r>
        <w:fldChar w:fldCharType="end"/>
      </w:r>
      <w:r>
        <w:fldChar w:fldCharType="end"/>
      </w:r>
    </w:p>
    <w:p>
      <w:pPr>
        <w:pStyle w:val="16"/>
        <w:tabs>
          <w:tab w:val="right" w:leader="dot" w:pos="9629"/>
        </w:tabs>
        <w:ind w:left="840" w:hanging="420"/>
      </w:pPr>
      <w:r>
        <w:fldChar w:fldCharType="begin"/>
      </w:r>
      <w:r>
        <w:instrText xml:space="preserve"> HYPERLINK \l "_Toc124169687" </w:instrText>
      </w:r>
      <w:r>
        <w:fldChar w:fldCharType="separate"/>
      </w:r>
      <w:r>
        <w:rPr>
          <w:rStyle w:val="26"/>
          <w:rFonts w:ascii="仿宋_GB2312" w:eastAsia="仿宋_GB2312"/>
          <w:b/>
        </w:rPr>
        <w:t>图1. 9 参加2022年省职业院校技能大赛荣获二等奖的学生与指导教师</w:t>
      </w:r>
      <w:r>
        <w:tab/>
      </w:r>
      <w:r>
        <w:fldChar w:fldCharType="begin"/>
      </w:r>
      <w:r>
        <w:instrText xml:space="preserve"> PAGEREF _Toc124169687 \h </w:instrText>
      </w:r>
      <w:r>
        <w:fldChar w:fldCharType="separate"/>
      </w:r>
      <w:r>
        <w:t>13</w:t>
      </w:r>
      <w:r>
        <w:fldChar w:fldCharType="end"/>
      </w:r>
      <w:r>
        <w:fldChar w:fldCharType="end"/>
      </w:r>
    </w:p>
    <w:p>
      <w:pPr>
        <w:pStyle w:val="16"/>
        <w:tabs>
          <w:tab w:val="right" w:leader="dot" w:pos="9629"/>
        </w:tabs>
        <w:ind w:left="840" w:hanging="420"/>
      </w:pPr>
      <w:r>
        <w:fldChar w:fldCharType="begin"/>
      </w:r>
      <w:r>
        <w:instrText xml:space="preserve"> HYPERLINK \l "_Toc124169688" </w:instrText>
      </w:r>
      <w:r>
        <w:fldChar w:fldCharType="separate"/>
      </w:r>
      <w:r>
        <w:rPr>
          <w:rStyle w:val="26"/>
          <w:rFonts w:ascii="仿宋_GB2312" w:eastAsia="仿宋_GB2312"/>
          <w:b/>
        </w:rPr>
        <w:t>图1. 10筑梦青春党史学习教育团红色教育基地参观</w:t>
      </w:r>
      <w:r>
        <w:tab/>
      </w:r>
      <w:r>
        <w:fldChar w:fldCharType="begin"/>
      </w:r>
      <w:r>
        <w:instrText xml:space="preserve"> PAGEREF _Toc124169688 \h </w:instrText>
      </w:r>
      <w:r>
        <w:fldChar w:fldCharType="separate"/>
      </w:r>
      <w:r>
        <w:t>17</w:t>
      </w:r>
      <w:r>
        <w:fldChar w:fldCharType="end"/>
      </w:r>
      <w:r>
        <w:fldChar w:fldCharType="end"/>
      </w:r>
      <w:r>
        <w:rPr>
          <w:rFonts w:ascii="仿宋_GB2312" w:eastAsia="仿宋_GB2312" w:hAnsiTheme="minorEastAsia"/>
          <w:sz w:val="28"/>
          <w:szCs w:val="28"/>
        </w:rPr>
        <w:fldChar w:fldCharType="end"/>
      </w:r>
      <w:r>
        <w:rPr>
          <w:rFonts w:ascii="仿宋_GB2312" w:eastAsia="仿宋_GB2312" w:hAnsiTheme="minorEastAsia"/>
          <w:sz w:val="28"/>
          <w:szCs w:val="28"/>
        </w:rPr>
        <w:fldChar w:fldCharType="begin"/>
      </w:r>
      <w:r>
        <w:rPr>
          <w:rFonts w:ascii="仿宋_GB2312" w:eastAsia="仿宋_GB2312" w:hAnsiTheme="minorEastAsia"/>
          <w:sz w:val="28"/>
          <w:szCs w:val="28"/>
        </w:rPr>
        <w:instrText xml:space="preserve"> TOC \h \z \c "图2." </w:instrText>
      </w:r>
      <w:r>
        <w:rPr>
          <w:rFonts w:ascii="仿宋_GB2312" w:eastAsia="仿宋_GB2312" w:hAnsiTheme="minorEastAsia"/>
          <w:sz w:val="28"/>
          <w:szCs w:val="28"/>
        </w:rPr>
        <w:fldChar w:fldCharType="separate"/>
      </w:r>
    </w:p>
    <w:p>
      <w:pPr>
        <w:pStyle w:val="16"/>
        <w:tabs>
          <w:tab w:val="right" w:leader="dot" w:pos="9629"/>
        </w:tabs>
        <w:ind w:left="840" w:hanging="420"/>
      </w:pPr>
      <w:r>
        <w:fldChar w:fldCharType="begin"/>
      </w:r>
      <w:r>
        <w:instrText xml:space="preserve"> HYPERLINK \l "_Toc124169689" </w:instrText>
      </w:r>
      <w:r>
        <w:fldChar w:fldCharType="separate"/>
      </w:r>
      <w:r>
        <w:rPr>
          <w:rStyle w:val="26"/>
          <w:rFonts w:ascii="仿宋_GB2312" w:eastAsia="仿宋_GB2312"/>
          <w:b/>
        </w:rPr>
        <w:t>图2. 1 参加2022省教师教学能力大赛直播与短视频营销获奖团队</w:t>
      </w:r>
      <w:r>
        <w:tab/>
      </w:r>
      <w:r>
        <w:fldChar w:fldCharType="begin"/>
      </w:r>
      <w:r>
        <w:instrText xml:space="preserve"> PAGEREF _Toc124169689 \h </w:instrText>
      </w:r>
      <w:r>
        <w:fldChar w:fldCharType="separate"/>
      </w:r>
      <w:r>
        <w:t>20</w:t>
      </w:r>
      <w:r>
        <w:fldChar w:fldCharType="end"/>
      </w:r>
      <w:r>
        <w:fldChar w:fldCharType="end"/>
      </w:r>
    </w:p>
    <w:p>
      <w:pPr>
        <w:pStyle w:val="16"/>
        <w:tabs>
          <w:tab w:val="right" w:leader="dot" w:pos="9629"/>
        </w:tabs>
        <w:ind w:left="840" w:hanging="420"/>
      </w:pPr>
      <w:r>
        <w:fldChar w:fldCharType="begin"/>
      </w:r>
      <w:r>
        <w:instrText xml:space="preserve"> HYPERLINK \l "_Toc124169690" </w:instrText>
      </w:r>
      <w:r>
        <w:fldChar w:fldCharType="separate"/>
      </w:r>
      <w:r>
        <w:rPr>
          <w:rStyle w:val="26"/>
          <w:rFonts w:ascii="仿宋_GB2312" w:eastAsia="仿宋_GB2312"/>
          <w:b/>
        </w:rPr>
        <w:t>图2. 2 苏州科技城医院临床教师《外科护理学》授课现场</w:t>
      </w:r>
      <w:r>
        <w:tab/>
      </w:r>
      <w:r>
        <w:fldChar w:fldCharType="begin"/>
      </w:r>
      <w:r>
        <w:instrText xml:space="preserve"> PAGEREF _Toc124169690 \h </w:instrText>
      </w:r>
      <w:r>
        <w:fldChar w:fldCharType="separate"/>
      </w:r>
      <w:r>
        <w:t>21</w:t>
      </w:r>
      <w:r>
        <w:fldChar w:fldCharType="end"/>
      </w:r>
      <w:r>
        <w:fldChar w:fldCharType="end"/>
      </w:r>
    </w:p>
    <w:p>
      <w:pPr>
        <w:pStyle w:val="16"/>
        <w:tabs>
          <w:tab w:val="right" w:leader="dot" w:pos="9629"/>
        </w:tabs>
        <w:ind w:left="840" w:hanging="420"/>
      </w:pPr>
      <w:r>
        <w:fldChar w:fldCharType="begin"/>
      </w:r>
      <w:r>
        <w:instrText xml:space="preserve"> HYPERLINK \l "_Toc124169691" </w:instrText>
      </w:r>
      <w:r>
        <w:fldChar w:fldCharType="separate"/>
      </w:r>
      <w:r>
        <w:rPr>
          <w:rStyle w:val="26"/>
          <w:rFonts w:ascii="仿宋_GB2312" w:eastAsia="仿宋_GB2312"/>
          <w:b/>
        </w:rPr>
        <w:t>图2. 3 “以赛促教”教学剪影</w:t>
      </w:r>
      <w:r>
        <w:tab/>
      </w:r>
      <w:r>
        <w:fldChar w:fldCharType="begin"/>
      </w:r>
      <w:r>
        <w:instrText xml:space="preserve"> PAGEREF _Toc124169691 \h </w:instrText>
      </w:r>
      <w:r>
        <w:fldChar w:fldCharType="separate"/>
      </w:r>
      <w:r>
        <w:t>22</w:t>
      </w:r>
      <w:r>
        <w:fldChar w:fldCharType="end"/>
      </w:r>
      <w:r>
        <w:fldChar w:fldCharType="end"/>
      </w:r>
    </w:p>
    <w:p>
      <w:pPr>
        <w:pStyle w:val="16"/>
        <w:tabs>
          <w:tab w:val="right" w:leader="dot" w:pos="9629"/>
        </w:tabs>
        <w:ind w:left="840" w:hanging="420"/>
      </w:pPr>
      <w:r>
        <w:fldChar w:fldCharType="begin"/>
      </w:r>
      <w:r>
        <w:instrText xml:space="preserve"> HYPERLINK \l "_Toc124169692" </w:instrText>
      </w:r>
      <w:r>
        <w:fldChar w:fldCharType="separate"/>
      </w:r>
      <w:r>
        <w:rPr>
          <w:rStyle w:val="26"/>
          <w:rFonts w:ascii="仿宋_GB2312" w:eastAsia="仿宋_GB2312"/>
          <w:b/>
        </w:rPr>
        <w:t>图2. 4 舞蹈专业教学成果汇报演出剪影</w:t>
      </w:r>
      <w:r>
        <w:tab/>
      </w:r>
      <w:r>
        <w:fldChar w:fldCharType="begin"/>
      </w:r>
      <w:r>
        <w:instrText xml:space="preserve"> PAGEREF _Toc124169692 \h </w:instrText>
      </w:r>
      <w:r>
        <w:fldChar w:fldCharType="separate"/>
      </w:r>
      <w:r>
        <w:t>29</w:t>
      </w:r>
      <w:r>
        <w:fldChar w:fldCharType="end"/>
      </w:r>
      <w:r>
        <w:fldChar w:fldCharType="end"/>
      </w:r>
    </w:p>
    <w:p>
      <w:pPr>
        <w:pStyle w:val="16"/>
        <w:tabs>
          <w:tab w:val="right" w:leader="dot" w:pos="9629"/>
        </w:tabs>
        <w:ind w:left="840" w:hanging="420"/>
      </w:pPr>
      <w:r>
        <w:fldChar w:fldCharType="begin"/>
      </w:r>
      <w:r>
        <w:instrText xml:space="preserve"> HYPERLINK \l "_Toc124169693" </w:instrText>
      </w:r>
      <w:r>
        <w:fldChar w:fldCharType="separate"/>
      </w:r>
      <w:r>
        <w:rPr>
          <w:rStyle w:val="26"/>
          <w:rFonts w:ascii="仿宋_GB2312" w:eastAsia="仿宋_GB2312"/>
          <w:b/>
        </w:rPr>
        <w:t>图2. 5 江南舞蹈艺术交流活动</w:t>
      </w:r>
      <w:r>
        <w:tab/>
      </w:r>
      <w:r>
        <w:fldChar w:fldCharType="begin"/>
      </w:r>
      <w:r>
        <w:instrText xml:space="preserve"> PAGEREF _Toc124169693 \h </w:instrText>
      </w:r>
      <w:r>
        <w:fldChar w:fldCharType="separate"/>
      </w:r>
      <w:r>
        <w:t>30</w:t>
      </w:r>
      <w:r>
        <w:fldChar w:fldCharType="end"/>
      </w:r>
      <w:r>
        <w:fldChar w:fldCharType="end"/>
      </w:r>
    </w:p>
    <w:p>
      <w:pPr>
        <w:pStyle w:val="16"/>
        <w:tabs>
          <w:tab w:val="right" w:leader="dot" w:pos="9629"/>
        </w:tabs>
        <w:ind w:left="840" w:hanging="420"/>
      </w:pPr>
      <w:r>
        <w:fldChar w:fldCharType="begin"/>
      </w:r>
      <w:r>
        <w:instrText xml:space="preserve"> HYPERLINK \l "_Toc124169694" </w:instrText>
      </w:r>
      <w:r>
        <w:fldChar w:fldCharType="separate"/>
      </w:r>
      <w:r>
        <w:rPr>
          <w:rStyle w:val="26"/>
          <w:rFonts w:ascii="仿宋_GB2312" w:eastAsia="仿宋_GB2312"/>
          <w:b/>
        </w:rPr>
        <w:t>图2. 6 江南非遗蓮湘舞展示</w:t>
      </w:r>
      <w:r>
        <w:tab/>
      </w:r>
      <w:r>
        <w:fldChar w:fldCharType="begin"/>
      </w:r>
      <w:r>
        <w:instrText xml:space="preserve"> PAGEREF _Toc124169694 \h </w:instrText>
      </w:r>
      <w:r>
        <w:fldChar w:fldCharType="separate"/>
      </w:r>
      <w:r>
        <w:t>30</w:t>
      </w:r>
      <w:r>
        <w:fldChar w:fldCharType="end"/>
      </w:r>
      <w:r>
        <w:fldChar w:fldCharType="end"/>
      </w:r>
    </w:p>
    <w:p>
      <w:pPr>
        <w:pStyle w:val="16"/>
        <w:tabs>
          <w:tab w:val="right" w:leader="dot" w:pos="9629"/>
        </w:tabs>
        <w:ind w:left="840" w:hanging="420"/>
      </w:pPr>
      <w:r>
        <w:fldChar w:fldCharType="begin"/>
      </w:r>
      <w:r>
        <w:instrText xml:space="preserve"> HYPERLINK \l "_Toc124169695" </w:instrText>
      </w:r>
      <w:r>
        <w:fldChar w:fldCharType="separate"/>
      </w:r>
      <w:r>
        <w:rPr>
          <w:rStyle w:val="26"/>
          <w:rFonts w:ascii="仿宋_GB2312" w:eastAsia="仿宋_GB2312"/>
          <w:b/>
        </w:rPr>
        <w:t>图2. 7 学校部分专业实训室</w:t>
      </w:r>
      <w:r>
        <w:tab/>
      </w:r>
      <w:r>
        <w:fldChar w:fldCharType="begin"/>
      </w:r>
      <w:r>
        <w:instrText xml:space="preserve"> PAGEREF _Toc124169695 \h </w:instrText>
      </w:r>
      <w:r>
        <w:fldChar w:fldCharType="separate"/>
      </w:r>
      <w:r>
        <w:t>37</w:t>
      </w:r>
      <w:r>
        <w:fldChar w:fldCharType="end"/>
      </w:r>
      <w:r>
        <w:fldChar w:fldCharType="end"/>
      </w:r>
      <w:r>
        <w:rPr>
          <w:rFonts w:ascii="仿宋_GB2312" w:eastAsia="仿宋_GB2312" w:hAnsiTheme="minorEastAsia"/>
          <w:sz w:val="28"/>
          <w:szCs w:val="28"/>
        </w:rPr>
        <w:fldChar w:fldCharType="end"/>
      </w:r>
      <w:r>
        <w:rPr>
          <w:rFonts w:ascii="仿宋_GB2312" w:eastAsia="仿宋_GB2312" w:hAnsiTheme="minorEastAsia"/>
          <w:sz w:val="28"/>
          <w:szCs w:val="28"/>
        </w:rPr>
        <w:fldChar w:fldCharType="begin"/>
      </w:r>
      <w:r>
        <w:rPr>
          <w:rFonts w:ascii="仿宋_GB2312" w:eastAsia="仿宋_GB2312" w:hAnsiTheme="minorEastAsia"/>
          <w:sz w:val="28"/>
          <w:szCs w:val="28"/>
        </w:rPr>
        <w:instrText xml:space="preserve"> TOC \h \z \c "图3." </w:instrText>
      </w:r>
      <w:r>
        <w:rPr>
          <w:rFonts w:ascii="仿宋_GB2312" w:eastAsia="仿宋_GB2312" w:hAnsiTheme="minorEastAsia"/>
          <w:sz w:val="28"/>
          <w:szCs w:val="28"/>
        </w:rPr>
        <w:fldChar w:fldCharType="separate"/>
      </w:r>
    </w:p>
    <w:p>
      <w:pPr>
        <w:pStyle w:val="16"/>
        <w:tabs>
          <w:tab w:val="right" w:leader="dot" w:pos="9629"/>
        </w:tabs>
        <w:ind w:left="840" w:hanging="420"/>
      </w:pPr>
      <w:r>
        <w:fldChar w:fldCharType="begin"/>
      </w:r>
      <w:r>
        <w:instrText xml:space="preserve"> HYPERLINK \l "_Toc124169696" </w:instrText>
      </w:r>
      <w:r>
        <w:fldChar w:fldCharType="separate"/>
      </w:r>
      <w:r>
        <w:rPr>
          <w:rStyle w:val="26"/>
          <w:rFonts w:ascii="仿宋_GB2312" w:eastAsia="仿宋_GB2312"/>
          <w:b/>
        </w:rPr>
        <w:t>图3. 1 无人机培训现场</w:t>
      </w:r>
      <w:r>
        <w:tab/>
      </w:r>
      <w:r>
        <w:fldChar w:fldCharType="begin"/>
      </w:r>
      <w:r>
        <w:instrText xml:space="preserve"> PAGEREF _Toc124169696 \h </w:instrText>
      </w:r>
      <w:r>
        <w:fldChar w:fldCharType="separate"/>
      </w:r>
      <w:r>
        <w:t>51</w:t>
      </w:r>
      <w:r>
        <w:fldChar w:fldCharType="end"/>
      </w:r>
      <w:r>
        <w:fldChar w:fldCharType="end"/>
      </w:r>
    </w:p>
    <w:p>
      <w:pPr>
        <w:pStyle w:val="16"/>
        <w:tabs>
          <w:tab w:val="right" w:leader="dot" w:pos="9629"/>
        </w:tabs>
        <w:ind w:left="840" w:hanging="420"/>
      </w:pPr>
      <w:r>
        <w:fldChar w:fldCharType="begin"/>
      </w:r>
      <w:r>
        <w:instrText xml:space="preserve"> HYPERLINK \l "_Toc124169697" </w:instrText>
      </w:r>
      <w:r>
        <w:fldChar w:fldCharType="separate"/>
      </w:r>
      <w:r>
        <w:rPr>
          <w:rStyle w:val="26"/>
          <w:rFonts w:ascii="仿宋_GB2312" w:eastAsia="仿宋_GB2312"/>
          <w:b/>
        </w:rPr>
        <w:t>图3. 2 无人机重点实验室部分成果展示</w:t>
      </w:r>
      <w:r>
        <w:tab/>
      </w:r>
      <w:r>
        <w:fldChar w:fldCharType="begin"/>
      </w:r>
      <w:r>
        <w:instrText xml:space="preserve"> PAGEREF _Toc124169697 \h </w:instrText>
      </w:r>
      <w:r>
        <w:fldChar w:fldCharType="separate"/>
      </w:r>
      <w:r>
        <w:t>53</w:t>
      </w:r>
      <w:r>
        <w:fldChar w:fldCharType="end"/>
      </w:r>
      <w:r>
        <w:fldChar w:fldCharType="end"/>
      </w:r>
    </w:p>
    <w:p>
      <w:pPr>
        <w:pStyle w:val="16"/>
        <w:tabs>
          <w:tab w:val="right" w:leader="dot" w:pos="9629"/>
        </w:tabs>
        <w:ind w:left="840" w:hanging="420"/>
      </w:pPr>
      <w:r>
        <w:fldChar w:fldCharType="begin"/>
      </w:r>
      <w:r>
        <w:instrText xml:space="preserve"> HYPERLINK \l "_Toc124169698" </w:instrText>
      </w:r>
      <w:r>
        <w:fldChar w:fldCharType="separate"/>
      </w:r>
      <w:r>
        <w:rPr>
          <w:rStyle w:val="26"/>
          <w:rFonts w:ascii="仿宋_GB2312" w:eastAsia="仿宋_GB2312"/>
          <w:b/>
        </w:rPr>
        <w:t>图3. 3 中科天启定向班启动揭牌</w:t>
      </w:r>
      <w:r>
        <w:tab/>
      </w:r>
      <w:r>
        <w:fldChar w:fldCharType="begin"/>
      </w:r>
      <w:r>
        <w:instrText xml:space="preserve"> PAGEREF _Toc124169698 \h </w:instrText>
      </w:r>
      <w:r>
        <w:fldChar w:fldCharType="separate"/>
      </w:r>
      <w:r>
        <w:t>54</w:t>
      </w:r>
      <w:r>
        <w:fldChar w:fldCharType="end"/>
      </w:r>
      <w:r>
        <w:fldChar w:fldCharType="end"/>
      </w:r>
    </w:p>
    <w:p>
      <w:pPr>
        <w:pStyle w:val="16"/>
        <w:tabs>
          <w:tab w:val="right" w:leader="dot" w:pos="9629"/>
        </w:tabs>
        <w:ind w:left="840" w:hanging="420"/>
      </w:pPr>
      <w:r>
        <w:fldChar w:fldCharType="begin"/>
      </w:r>
      <w:r>
        <w:instrText xml:space="preserve"> HYPERLINK \l "_Toc124169699" </w:instrText>
      </w:r>
      <w:r>
        <w:fldChar w:fldCharType="separate"/>
      </w:r>
      <w:r>
        <w:rPr>
          <w:rStyle w:val="26"/>
          <w:rFonts w:ascii="仿宋_GB2312" w:eastAsia="仿宋_GB2312"/>
          <w:b/>
        </w:rPr>
        <w:t>图3. 4 校企合作实习生结业仪式</w:t>
      </w:r>
      <w:r>
        <w:tab/>
      </w:r>
      <w:r>
        <w:fldChar w:fldCharType="begin"/>
      </w:r>
      <w:r>
        <w:instrText xml:space="preserve"> PAGEREF _Toc124169699 \h </w:instrText>
      </w:r>
      <w:r>
        <w:fldChar w:fldCharType="separate"/>
      </w:r>
      <w:r>
        <w:t>55</w:t>
      </w:r>
      <w:r>
        <w:fldChar w:fldCharType="end"/>
      </w:r>
      <w:r>
        <w:fldChar w:fldCharType="end"/>
      </w:r>
    </w:p>
    <w:p>
      <w:pPr>
        <w:pStyle w:val="16"/>
        <w:tabs>
          <w:tab w:val="right" w:leader="dot" w:pos="9629"/>
        </w:tabs>
        <w:ind w:left="840" w:hanging="420"/>
      </w:pPr>
      <w:r>
        <w:fldChar w:fldCharType="begin"/>
      </w:r>
      <w:r>
        <w:instrText xml:space="preserve"> HYPERLINK \l "_Toc124169700" </w:instrText>
      </w:r>
      <w:r>
        <w:fldChar w:fldCharType="separate"/>
      </w:r>
      <w:r>
        <w:rPr>
          <w:rStyle w:val="26"/>
          <w:rFonts w:ascii="仿宋_GB2312" w:eastAsia="仿宋_GB2312"/>
          <w:b/>
        </w:rPr>
        <w:t>图3. 5 助力电子商务企业“双十一”活动剪影</w:t>
      </w:r>
      <w:r>
        <w:tab/>
      </w:r>
      <w:r>
        <w:fldChar w:fldCharType="begin"/>
      </w:r>
      <w:r>
        <w:instrText xml:space="preserve"> PAGEREF _Toc124169700 \h </w:instrText>
      </w:r>
      <w:r>
        <w:fldChar w:fldCharType="separate"/>
      </w:r>
      <w:r>
        <w:t>56</w:t>
      </w:r>
      <w:r>
        <w:fldChar w:fldCharType="end"/>
      </w:r>
      <w:r>
        <w:fldChar w:fldCharType="end"/>
      </w:r>
    </w:p>
    <w:p>
      <w:pPr>
        <w:pStyle w:val="16"/>
        <w:tabs>
          <w:tab w:val="right" w:leader="dot" w:pos="9629"/>
        </w:tabs>
        <w:ind w:left="840" w:hanging="420"/>
      </w:pPr>
      <w:r>
        <w:fldChar w:fldCharType="begin"/>
      </w:r>
      <w:r>
        <w:instrText xml:space="preserve"> HYPERLINK \l "_Toc124169701" </w:instrText>
      </w:r>
      <w:r>
        <w:fldChar w:fldCharType="separate"/>
      </w:r>
      <w:r>
        <w:rPr>
          <w:rStyle w:val="26"/>
          <w:rFonts w:ascii="仿宋_GB2312" w:eastAsia="仿宋_GB2312"/>
          <w:b/>
        </w:rPr>
        <w:t>图3. 6  机械工程专业学生的岗位实习</w:t>
      </w:r>
      <w:r>
        <w:tab/>
      </w:r>
      <w:r>
        <w:fldChar w:fldCharType="begin"/>
      </w:r>
      <w:r>
        <w:instrText xml:space="preserve"> PAGEREF _Toc124169701 \h </w:instrText>
      </w:r>
      <w:r>
        <w:fldChar w:fldCharType="separate"/>
      </w:r>
      <w:r>
        <w:t>56</w:t>
      </w:r>
      <w:r>
        <w:fldChar w:fldCharType="end"/>
      </w:r>
      <w:r>
        <w:fldChar w:fldCharType="end"/>
      </w:r>
    </w:p>
    <w:p>
      <w:pPr>
        <w:pStyle w:val="16"/>
        <w:tabs>
          <w:tab w:val="right" w:leader="dot" w:pos="9629"/>
        </w:tabs>
        <w:ind w:left="840" w:hanging="420"/>
      </w:pPr>
      <w:r>
        <w:fldChar w:fldCharType="begin"/>
      </w:r>
      <w:r>
        <w:instrText xml:space="preserve"> HYPERLINK \l "_Toc124169702" </w:instrText>
      </w:r>
      <w:r>
        <w:fldChar w:fldCharType="separate"/>
      </w:r>
      <w:r>
        <w:rPr>
          <w:rStyle w:val="26"/>
          <w:rFonts w:ascii="仿宋_GB2312" w:eastAsia="仿宋_GB2312"/>
          <w:b/>
        </w:rPr>
        <w:t>图3. 7 护理专业毕业实习剪影</w:t>
      </w:r>
      <w:r>
        <w:tab/>
      </w:r>
      <w:r>
        <w:fldChar w:fldCharType="begin"/>
      </w:r>
      <w:r>
        <w:instrText xml:space="preserve"> PAGEREF _Toc124169702 \h </w:instrText>
      </w:r>
      <w:r>
        <w:fldChar w:fldCharType="separate"/>
      </w:r>
      <w:r>
        <w:t>57</w:t>
      </w:r>
      <w:r>
        <w:fldChar w:fldCharType="end"/>
      </w:r>
      <w:r>
        <w:fldChar w:fldCharType="end"/>
      </w:r>
    </w:p>
    <w:p>
      <w:pPr>
        <w:pStyle w:val="16"/>
        <w:tabs>
          <w:tab w:val="right" w:leader="dot" w:pos="9629"/>
        </w:tabs>
        <w:ind w:left="840" w:hanging="420"/>
      </w:pPr>
      <w:r>
        <w:fldChar w:fldCharType="begin"/>
      </w:r>
      <w:r>
        <w:instrText xml:space="preserve"> HYPERLINK \l "_Toc124169703" </w:instrText>
      </w:r>
      <w:r>
        <w:fldChar w:fldCharType="separate"/>
      </w:r>
      <w:r>
        <w:rPr>
          <w:rStyle w:val="26"/>
          <w:rFonts w:ascii="仿宋_GB2312" w:eastAsia="仿宋_GB2312"/>
          <w:b/>
        </w:rPr>
        <w:t>图3. 8 “亨通企业学院”召开项目研讨会</w:t>
      </w:r>
      <w:r>
        <w:tab/>
      </w:r>
      <w:r>
        <w:fldChar w:fldCharType="begin"/>
      </w:r>
      <w:r>
        <w:instrText xml:space="preserve"> PAGEREF _Toc124169703 \h </w:instrText>
      </w:r>
      <w:r>
        <w:fldChar w:fldCharType="separate"/>
      </w:r>
      <w:r>
        <w:t>58</w:t>
      </w:r>
      <w:r>
        <w:fldChar w:fldCharType="end"/>
      </w:r>
      <w:r>
        <w:fldChar w:fldCharType="end"/>
      </w:r>
    </w:p>
    <w:p>
      <w:pPr>
        <w:pStyle w:val="16"/>
        <w:tabs>
          <w:tab w:val="right" w:leader="dot" w:pos="9629"/>
        </w:tabs>
        <w:ind w:left="840" w:hanging="420"/>
      </w:pPr>
      <w:r>
        <w:fldChar w:fldCharType="begin"/>
      </w:r>
      <w:r>
        <w:instrText xml:space="preserve"> HYPERLINK \l "_Toc124169704" </w:instrText>
      </w:r>
      <w:r>
        <w:fldChar w:fldCharType="separate"/>
      </w:r>
      <w:r>
        <w:rPr>
          <w:rStyle w:val="26"/>
          <w:rFonts w:ascii="仿宋_GB2312" w:eastAsia="仿宋_GB2312"/>
          <w:b/>
        </w:rPr>
        <w:t>图3. 9 “飞马良子企业学院”揭牌仪式</w:t>
      </w:r>
      <w:r>
        <w:tab/>
      </w:r>
      <w:r>
        <w:fldChar w:fldCharType="begin"/>
      </w:r>
      <w:r>
        <w:instrText xml:space="preserve"> PAGEREF _Toc124169704 \h </w:instrText>
      </w:r>
      <w:r>
        <w:fldChar w:fldCharType="separate"/>
      </w:r>
      <w:r>
        <w:t>58</w:t>
      </w:r>
      <w:r>
        <w:fldChar w:fldCharType="end"/>
      </w:r>
      <w:r>
        <w:fldChar w:fldCharType="end"/>
      </w:r>
    </w:p>
    <w:p>
      <w:pPr>
        <w:pStyle w:val="16"/>
        <w:tabs>
          <w:tab w:val="right" w:leader="dot" w:pos="9629"/>
        </w:tabs>
        <w:ind w:left="840" w:hanging="420"/>
      </w:pPr>
      <w:r>
        <w:fldChar w:fldCharType="begin"/>
      </w:r>
      <w:r>
        <w:instrText xml:space="preserve"> HYPERLINK \l "_Toc124169705" </w:instrText>
      </w:r>
      <w:r>
        <w:fldChar w:fldCharType="separate"/>
      </w:r>
      <w:r>
        <w:rPr>
          <w:rStyle w:val="26"/>
          <w:rFonts w:ascii="仿宋_GB2312" w:eastAsia="仿宋_GB2312"/>
          <w:b/>
        </w:rPr>
        <w:t>图3. 10 苏州高新区管委会莅临指导</w:t>
      </w:r>
      <w:r>
        <w:tab/>
      </w:r>
      <w:r>
        <w:fldChar w:fldCharType="begin"/>
      </w:r>
      <w:r>
        <w:instrText xml:space="preserve"> PAGEREF _Toc124169705 \h </w:instrText>
      </w:r>
      <w:r>
        <w:fldChar w:fldCharType="separate"/>
      </w:r>
      <w:r>
        <w:t>61</w:t>
      </w:r>
      <w:r>
        <w:fldChar w:fldCharType="end"/>
      </w:r>
      <w:r>
        <w:fldChar w:fldCharType="end"/>
      </w:r>
    </w:p>
    <w:p>
      <w:pPr>
        <w:pStyle w:val="16"/>
        <w:tabs>
          <w:tab w:val="right" w:leader="dot" w:pos="9629"/>
        </w:tabs>
        <w:ind w:left="840" w:hanging="420"/>
      </w:pPr>
      <w:r>
        <w:fldChar w:fldCharType="begin"/>
      </w:r>
      <w:r>
        <w:instrText xml:space="preserve"> HYPERLINK \l "_Toc124169706" </w:instrText>
      </w:r>
      <w:r>
        <w:fldChar w:fldCharType="separate"/>
      </w:r>
      <w:r>
        <w:rPr>
          <w:rStyle w:val="26"/>
          <w:rFonts w:ascii="仿宋_GB2312" w:eastAsia="仿宋_GB2312"/>
          <w:b/>
        </w:rPr>
        <w:t>图3. 11 江苏省疫情防控组来校检查</w:t>
      </w:r>
      <w:r>
        <w:tab/>
      </w:r>
      <w:r>
        <w:fldChar w:fldCharType="begin"/>
      </w:r>
      <w:r>
        <w:instrText xml:space="preserve"> PAGEREF _Toc124169706 \h </w:instrText>
      </w:r>
      <w:r>
        <w:fldChar w:fldCharType="separate"/>
      </w:r>
      <w:r>
        <w:t>63</w:t>
      </w:r>
      <w:r>
        <w:fldChar w:fldCharType="end"/>
      </w:r>
      <w:r>
        <w:fldChar w:fldCharType="end"/>
      </w:r>
      <w:r>
        <w:rPr>
          <w:rFonts w:ascii="仿宋_GB2312" w:eastAsia="仿宋_GB2312" w:hAnsiTheme="minorEastAsia"/>
          <w:sz w:val="28"/>
          <w:szCs w:val="28"/>
        </w:rPr>
        <w:fldChar w:fldCharType="end"/>
      </w:r>
      <w:r>
        <w:rPr>
          <w:rFonts w:ascii="仿宋_GB2312" w:eastAsia="仿宋_GB2312" w:hAnsiTheme="minorEastAsia"/>
          <w:sz w:val="28"/>
          <w:szCs w:val="28"/>
        </w:rPr>
        <w:fldChar w:fldCharType="begin"/>
      </w:r>
      <w:r>
        <w:rPr>
          <w:rFonts w:ascii="仿宋_GB2312" w:eastAsia="仿宋_GB2312" w:hAnsiTheme="minorEastAsia"/>
          <w:sz w:val="28"/>
          <w:szCs w:val="28"/>
        </w:rPr>
        <w:instrText xml:space="preserve"> TOC \h \z \c "图4." </w:instrText>
      </w:r>
      <w:r>
        <w:rPr>
          <w:rFonts w:ascii="仿宋_GB2312" w:eastAsia="仿宋_GB2312" w:hAnsiTheme="minorEastAsia"/>
          <w:sz w:val="28"/>
          <w:szCs w:val="28"/>
        </w:rPr>
        <w:fldChar w:fldCharType="separate"/>
      </w:r>
    </w:p>
    <w:p>
      <w:pPr>
        <w:pStyle w:val="16"/>
        <w:tabs>
          <w:tab w:val="right" w:leader="dot" w:pos="9629"/>
        </w:tabs>
        <w:ind w:left="840" w:hanging="420"/>
      </w:pPr>
      <w:r>
        <w:fldChar w:fldCharType="begin"/>
      </w:r>
      <w:r>
        <w:instrText xml:space="preserve"> HYPERLINK \l "_Toc124169707" </w:instrText>
      </w:r>
      <w:r>
        <w:fldChar w:fldCharType="separate"/>
      </w:r>
      <w:r>
        <w:rPr>
          <w:rStyle w:val="26"/>
          <w:rFonts w:ascii="仿宋_GB2312" w:eastAsia="仿宋_GB2312"/>
          <w:b/>
        </w:rPr>
        <w:t>图4. 1 巴巴多斯驻华大使杰克曼来访</w:t>
      </w:r>
      <w:r>
        <w:tab/>
      </w:r>
      <w:r>
        <w:fldChar w:fldCharType="begin"/>
      </w:r>
      <w:r>
        <w:instrText xml:space="preserve"> PAGEREF _Toc124169707 \h </w:instrText>
      </w:r>
      <w:r>
        <w:fldChar w:fldCharType="separate"/>
      </w:r>
      <w:r>
        <w:t>65</w:t>
      </w:r>
      <w:r>
        <w:fldChar w:fldCharType="end"/>
      </w:r>
      <w:r>
        <w:fldChar w:fldCharType="end"/>
      </w:r>
    </w:p>
    <w:p>
      <w:pPr>
        <w:pStyle w:val="16"/>
        <w:tabs>
          <w:tab w:val="right" w:leader="dot" w:pos="9629"/>
        </w:tabs>
        <w:ind w:left="840" w:hanging="420"/>
      </w:pPr>
      <w:r>
        <w:fldChar w:fldCharType="begin"/>
      </w:r>
      <w:r>
        <w:instrText xml:space="preserve"> HYPERLINK \l "_Toc124169708" </w:instrText>
      </w:r>
      <w:r>
        <w:fldChar w:fldCharType="separate"/>
      </w:r>
      <w:r>
        <w:rPr>
          <w:rStyle w:val="26"/>
          <w:rFonts w:ascii="仿宋_GB2312" w:eastAsia="仿宋_GB2312"/>
          <w:b/>
        </w:rPr>
        <w:t>图4. 2 留学生在高博举行毕业典礼（2021年6月）</w:t>
      </w:r>
      <w:r>
        <w:tab/>
      </w:r>
      <w:r>
        <w:fldChar w:fldCharType="begin"/>
      </w:r>
      <w:r>
        <w:instrText xml:space="preserve"> PAGEREF _Toc124169708 \h </w:instrText>
      </w:r>
      <w:r>
        <w:fldChar w:fldCharType="separate"/>
      </w:r>
      <w:r>
        <w:t>66</w:t>
      </w:r>
      <w:r>
        <w:fldChar w:fldCharType="end"/>
      </w:r>
      <w:r>
        <w:fldChar w:fldCharType="end"/>
      </w:r>
    </w:p>
    <w:p>
      <w:pPr>
        <w:pStyle w:val="16"/>
        <w:tabs>
          <w:tab w:val="right" w:leader="dot" w:pos="9629"/>
        </w:tabs>
        <w:ind w:left="840" w:hanging="420"/>
      </w:pPr>
      <w:r>
        <w:fldChar w:fldCharType="begin"/>
      </w:r>
      <w:r>
        <w:instrText xml:space="preserve"> HYPERLINK \l "_Toc124169709" </w:instrText>
      </w:r>
      <w:r>
        <w:fldChar w:fldCharType="separate"/>
      </w:r>
      <w:r>
        <w:rPr>
          <w:rStyle w:val="26"/>
          <w:rFonts w:ascii="仿宋_GB2312" w:eastAsia="仿宋_GB2312"/>
          <w:b/>
        </w:rPr>
        <w:t>图4. 3 留学生在西印度大学举行毕业典礼（2022年10月）</w:t>
      </w:r>
      <w:r>
        <w:tab/>
      </w:r>
      <w:r>
        <w:fldChar w:fldCharType="begin"/>
      </w:r>
      <w:r>
        <w:instrText xml:space="preserve"> PAGEREF _Toc124169709 \h </w:instrText>
      </w:r>
      <w:r>
        <w:fldChar w:fldCharType="separate"/>
      </w:r>
      <w:r>
        <w:t>66</w:t>
      </w:r>
      <w:r>
        <w:fldChar w:fldCharType="end"/>
      </w:r>
      <w:r>
        <w:fldChar w:fldCharType="end"/>
      </w:r>
    </w:p>
    <w:p>
      <w:pPr>
        <w:widowControl/>
        <w:jc w:val="left"/>
        <w:rPr>
          <w:rFonts w:ascii="仿宋_GB2312" w:eastAsia="仿宋_GB2312" w:hAnsiTheme="minorEastAsia"/>
          <w:sz w:val="28"/>
          <w:szCs w:val="28"/>
        </w:rPr>
      </w:pPr>
      <w:r>
        <w:rPr>
          <w:rFonts w:ascii="仿宋_GB2312" w:eastAsia="仿宋_GB2312" w:hAnsiTheme="minorEastAsia"/>
          <w:sz w:val="28"/>
          <w:szCs w:val="28"/>
        </w:rPr>
        <w:fldChar w:fldCharType="end"/>
      </w:r>
    </w:p>
    <w:p>
      <w:pPr>
        <w:pStyle w:val="33"/>
        <w:tabs>
          <w:tab w:val="left" w:pos="675"/>
          <w:tab w:val="left" w:pos="990"/>
          <w:tab w:val="left" w:pos="1680"/>
          <w:tab w:val="center" w:pos="4819"/>
        </w:tabs>
        <w:spacing w:before="0"/>
        <w:rPr>
          <w:rFonts w:asciiTheme="minorHAnsi" w:hAnsiTheme="minorHAnsi" w:eastAsiaTheme="minorEastAsia" w:cstheme="minorBidi"/>
          <w:b w:val="0"/>
          <w:bCs w:val="0"/>
          <w:color w:val="auto"/>
          <w:kern w:val="2"/>
          <w:sz w:val="21"/>
          <w:szCs w:val="22"/>
          <w:lang w:val="zh-CN"/>
        </w:rPr>
        <w:sectPr>
          <w:footerReference r:id="rId10" w:type="first"/>
          <w:footerReference r:id="rId9" w:type="default"/>
          <w:pgSz w:w="11907" w:h="16840"/>
          <w:pgMar w:top="1134" w:right="1134" w:bottom="1134" w:left="1134" w:header="0" w:footer="0" w:gutter="0"/>
          <w:pgNumType w:start="1"/>
          <w:cols w:space="425" w:num="1"/>
          <w:titlePg/>
          <w:docGrid w:type="lines" w:linePitch="312" w:charSpace="0"/>
        </w:sectPr>
      </w:pPr>
    </w:p>
    <w:p>
      <w:pPr>
        <w:pStyle w:val="33"/>
        <w:tabs>
          <w:tab w:val="left" w:pos="675"/>
          <w:tab w:val="left" w:pos="990"/>
          <w:tab w:val="left" w:pos="1680"/>
          <w:tab w:val="center" w:pos="4819"/>
        </w:tabs>
        <w:spacing w:before="0"/>
        <w:rPr>
          <w:b w:val="0"/>
          <w:color w:val="000000" w:themeColor="text1"/>
          <w:sz w:val="44"/>
          <w:szCs w:val="44"/>
          <w:lang w:val="zh-CN"/>
        </w:rPr>
      </w:pPr>
      <w:bookmarkStart w:id="315" w:name="_GoBack"/>
      <w:bookmarkEnd w:id="315"/>
      <w:r>
        <w:rPr>
          <w:rFonts w:asciiTheme="minorHAnsi" w:hAnsiTheme="minorHAnsi" w:eastAsiaTheme="minorEastAsia" w:cstheme="minorBidi"/>
          <w:b w:val="0"/>
          <w:bCs w:val="0"/>
          <w:color w:val="auto"/>
          <w:kern w:val="2"/>
          <w:sz w:val="21"/>
          <w:szCs w:val="22"/>
          <w:lang w:val="zh-CN"/>
        </w:rPr>
        <w:tab/>
      </w:r>
      <w:r>
        <w:rPr>
          <w:rFonts w:asciiTheme="minorHAnsi" w:hAnsiTheme="minorHAnsi" w:eastAsiaTheme="minorEastAsia" w:cstheme="minorBidi"/>
          <w:b w:val="0"/>
          <w:bCs w:val="0"/>
          <w:color w:val="auto"/>
          <w:kern w:val="2"/>
          <w:sz w:val="21"/>
          <w:szCs w:val="22"/>
          <w:lang w:val="zh-CN"/>
        </w:rPr>
        <w:tab/>
      </w:r>
      <w:r>
        <w:rPr>
          <w:rFonts w:asciiTheme="minorHAnsi" w:hAnsiTheme="minorHAnsi" w:eastAsiaTheme="minorEastAsia" w:cstheme="minorBidi"/>
          <w:b w:val="0"/>
          <w:bCs w:val="0"/>
          <w:color w:val="auto"/>
          <w:kern w:val="2"/>
          <w:sz w:val="21"/>
          <w:szCs w:val="22"/>
          <w:lang w:val="zh-CN"/>
        </w:rPr>
        <w:tab/>
      </w:r>
      <w:r>
        <w:rPr>
          <w:rFonts w:asciiTheme="minorHAnsi" w:hAnsiTheme="minorHAnsi" w:eastAsiaTheme="minorEastAsia" w:cstheme="minorBidi"/>
          <w:b w:val="0"/>
          <w:bCs w:val="0"/>
          <w:color w:val="auto"/>
          <w:kern w:val="2"/>
          <w:sz w:val="21"/>
          <w:szCs w:val="22"/>
          <w:lang w:val="zh-CN"/>
        </w:rPr>
        <w:tab/>
      </w:r>
      <w:r>
        <w:rPr>
          <w:rFonts w:hint="eastAsia"/>
          <w:b w:val="0"/>
          <w:color w:val="000000" w:themeColor="text1"/>
          <w:sz w:val="44"/>
          <w:szCs w:val="44"/>
          <w:lang w:val="zh-CN"/>
        </w:rPr>
        <w:t xml:space="preserve">表  </w:t>
      </w:r>
      <w:r>
        <w:rPr>
          <w:b w:val="0"/>
          <w:color w:val="000000" w:themeColor="text1"/>
          <w:sz w:val="44"/>
          <w:szCs w:val="44"/>
          <w:lang w:val="zh-CN"/>
        </w:rPr>
        <w:t>目</w:t>
      </w:r>
      <w:r>
        <w:rPr>
          <w:rFonts w:hint="eastAsia"/>
          <w:b w:val="0"/>
          <w:color w:val="000000" w:themeColor="text1"/>
          <w:sz w:val="44"/>
          <w:szCs w:val="44"/>
          <w:lang w:val="zh-CN"/>
        </w:rPr>
        <w:t xml:space="preserve"> </w:t>
      </w:r>
      <w:r>
        <w:rPr>
          <w:b w:val="0"/>
          <w:color w:val="000000" w:themeColor="text1"/>
          <w:sz w:val="44"/>
          <w:szCs w:val="44"/>
          <w:lang w:val="zh-CN"/>
        </w:rPr>
        <w:t xml:space="preserve"> 录</w:t>
      </w:r>
    </w:p>
    <w:p>
      <w:pPr>
        <w:widowControl/>
        <w:jc w:val="left"/>
      </w:pPr>
      <w:r>
        <w:rPr>
          <w:rFonts w:ascii="仿宋_GB2312" w:eastAsia="仿宋_GB2312" w:hAnsiTheme="minorEastAsia"/>
          <w:sz w:val="28"/>
          <w:szCs w:val="28"/>
        </w:rPr>
        <w:fldChar w:fldCharType="begin"/>
      </w:r>
      <w:r>
        <w:rPr>
          <w:rFonts w:ascii="仿宋_GB2312" w:eastAsia="仿宋_GB2312" w:hAnsiTheme="minorEastAsia"/>
          <w:sz w:val="28"/>
          <w:szCs w:val="28"/>
        </w:rPr>
        <w:instrText xml:space="preserve"> TOC \h \z \c "表1." </w:instrText>
      </w:r>
      <w:r>
        <w:rPr>
          <w:rFonts w:ascii="仿宋_GB2312" w:eastAsia="仿宋_GB2312" w:hAnsiTheme="minorEastAsia"/>
          <w:sz w:val="28"/>
          <w:szCs w:val="28"/>
        </w:rPr>
        <w:fldChar w:fldCharType="separate"/>
      </w:r>
    </w:p>
    <w:p>
      <w:pPr>
        <w:pStyle w:val="16"/>
        <w:tabs>
          <w:tab w:val="right" w:leader="dot" w:pos="9629"/>
        </w:tabs>
        <w:ind w:left="840" w:hanging="420"/>
      </w:pPr>
      <w:r>
        <w:fldChar w:fldCharType="begin"/>
      </w:r>
      <w:r>
        <w:instrText xml:space="preserve"> HYPERLINK \l "_Toc124170660" </w:instrText>
      </w:r>
      <w:r>
        <w:fldChar w:fldCharType="separate"/>
      </w:r>
      <w:r>
        <w:rPr>
          <w:rStyle w:val="26"/>
          <w:rFonts w:ascii="仿宋_GB2312" w:eastAsia="仿宋_GB2312" w:hAnsiTheme="minorEastAsia"/>
          <w:b/>
        </w:rPr>
        <w:t xml:space="preserve">表1. 1 </w:t>
      </w:r>
      <w:r>
        <w:rPr>
          <w:rStyle w:val="26"/>
          <w:rFonts w:hint="eastAsia" w:ascii="仿宋_GB2312" w:eastAsia="仿宋_GB2312" w:hAnsiTheme="minorEastAsia"/>
          <w:b/>
        </w:rPr>
        <w:t>计</w:t>
      </w:r>
      <w:r>
        <w:rPr>
          <w:rStyle w:val="26"/>
          <w:rFonts w:ascii="仿宋_GB2312" w:eastAsia="仿宋_GB2312" w:hAnsiTheme="minorEastAsia"/>
          <w:b/>
        </w:rPr>
        <w:t>分卡</w:t>
      </w:r>
      <w:r>
        <w:tab/>
      </w:r>
      <w:r>
        <w:fldChar w:fldCharType="begin"/>
      </w:r>
      <w:r>
        <w:instrText xml:space="preserve"> PAGEREF _Toc124170660 \h </w:instrText>
      </w:r>
      <w:r>
        <w:fldChar w:fldCharType="separate"/>
      </w:r>
      <w:r>
        <w:t>10</w:t>
      </w:r>
      <w:r>
        <w:fldChar w:fldCharType="end"/>
      </w:r>
      <w:r>
        <w:fldChar w:fldCharType="end"/>
      </w:r>
    </w:p>
    <w:p>
      <w:pPr>
        <w:pStyle w:val="16"/>
        <w:tabs>
          <w:tab w:val="right" w:leader="dot" w:pos="9629"/>
        </w:tabs>
        <w:ind w:left="840" w:hanging="420"/>
      </w:pPr>
      <w:r>
        <w:fldChar w:fldCharType="begin"/>
      </w:r>
      <w:r>
        <w:instrText xml:space="preserve"> HYPERLINK \l "_Toc124170661" </w:instrText>
      </w:r>
      <w:r>
        <w:fldChar w:fldCharType="separate"/>
      </w:r>
      <w:r>
        <w:rPr>
          <w:rStyle w:val="26"/>
          <w:rFonts w:ascii="仿宋_GB2312" w:eastAsia="仿宋_GB2312" w:hAnsiTheme="minorEastAsia"/>
          <w:b/>
        </w:rPr>
        <w:t>表1. 2 “1+X”证书试点进展情况</w:t>
      </w:r>
      <w:r>
        <w:tab/>
      </w:r>
      <w:r>
        <w:fldChar w:fldCharType="begin"/>
      </w:r>
      <w:r>
        <w:instrText xml:space="preserve"> PAGEREF _Toc124170661 \h </w:instrText>
      </w:r>
      <w:r>
        <w:fldChar w:fldCharType="separate"/>
      </w:r>
      <w:r>
        <w:t>11</w:t>
      </w:r>
      <w:r>
        <w:fldChar w:fldCharType="end"/>
      </w:r>
      <w:r>
        <w:fldChar w:fldCharType="end"/>
      </w:r>
    </w:p>
    <w:p>
      <w:pPr>
        <w:pStyle w:val="16"/>
        <w:tabs>
          <w:tab w:val="right" w:leader="dot" w:pos="9629"/>
        </w:tabs>
        <w:ind w:left="840" w:hanging="420"/>
      </w:pPr>
      <w:r>
        <w:fldChar w:fldCharType="begin"/>
      </w:r>
      <w:r>
        <w:instrText xml:space="preserve"> HYPERLINK \l "_Toc124170662" </w:instrText>
      </w:r>
      <w:r>
        <w:fldChar w:fldCharType="separate"/>
      </w:r>
      <w:r>
        <w:rPr>
          <w:rStyle w:val="26"/>
          <w:rFonts w:ascii="仿宋_GB2312" w:eastAsia="仿宋_GB2312" w:hAnsiTheme="minorEastAsia"/>
          <w:b/>
        </w:rPr>
        <w:t>表1. 3满意度调查表</w:t>
      </w:r>
      <w:r>
        <w:tab/>
      </w:r>
      <w:r>
        <w:fldChar w:fldCharType="begin"/>
      </w:r>
      <w:r>
        <w:instrText xml:space="preserve"> PAGEREF _Toc124170662 \h </w:instrText>
      </w:r>
      <w:r>
        <w:fldChar w:fldCharType="separate"/>
      </w:r>
      <w:r>
        <w:t>14</w:t>
      </w:r>
      <w:r>
        <w:fldChar w:fldCharType="end"/>
      </w:r>
      <w:r>
        <w:fldChar w:fldCharType="end"/>
      </w:r>
    </w:p>
    <w:p>
      <w:pPr>
        <w:pStyle w:val="16"/>
        <w:tabs>
          <w:tab w:val="right" w:leader="dot" w:pos="9629"/>
        </w:tabs>
        <w:ind w:left="840" w:hanging="420"/>
      </w:pPr>
      <w:r>
        <w:fldChar w:fldCharType="begin"/>
      </w:r>
      <w:r>
        <w:instrText xml:space="preserve"> HYPERLINK \l "_Toc124170663" </w:instrText>
      </w:r>
      <w:r>
        <w:fldChar w:fldCharType="separate"/>
      </w:r>
      <w:r>
        <w:rPr>
          <w:rStyle w:val="26"/>
          <w:rFonts w:ascii="仿宋_GB2312" w:eastAsia="仿宋_GB2312" w:hAnsiTheme="minorEastAsia"/>
          <w:b/>
        </w:rPr>
        <w:t>表1. 4学生社团一览表</w:t>
      </w:r>
      <w:r>
        <w:tab/>
      </w:r>
      <w:r>
        <w:fldChar w:fldCharType="begin"/>
      </w:r>
      <w:r>
        <w:instrText xml:space="preserve"> PAGEREF _Toc124170663 \h </w:instrText>
      </w:r>
      <w:r>
        <w:fldChar w:fldCharType="separate"/>
      </w:r>
      <w:r>
        <w:t>15</w:t>
      </w:r>
      <w:r>
        <w:fldChar w:fldCharType="end"/>
      </w:r>
      <w:r>
        <w:fldChar w:fldCharType="end"/>
      </w:r>
    </w:p>
    <w:p>
      <w:pPr>
        <w:pStyle w:val="16"/>
        <w:tabs>
          <w:tab w:val="right" w:leader="dot" w:pos="9629"/>
        </w:tabs>
        <w:ind w:left="980" w:hanging="560"/>
      </w:pPr>
      <w:r>
        <w:rPr>
          <w:rFonts w:ascii="仿宋_GB2312" w:eastAsia="仿宋_GB2312" w:hAnsiTheme="minorEastAsia"/>
          <w:sz w:val="28"/>
          <w:szCs w:val="28"/>
        </w:rPr>
        <w:fldChar w:fldCharType="end"/>
      </w:r>
      <w:r>
        <w:rPr>
          <w:rFonts w:ascii="仿宋_GB2312" w:eastAsia="仿宋_GB2312" w:hAnsiTheme="minorEastAsia"/>
          <w:sz w:val="28"/>
          <w:szCs w:val="28"/>
        </w:rPr>
        <w:fldChar w:fldCharType="begin"/>
      </w:r>
      <w:r>
        <w:rPr>
          <w:rFonts w:ascii="仿宋_GB2312" w:eastAsia="仿宋_GB2312" w:hAnsiTheme="minorEastAsia"/>
          <w:sz w:val="28"/>
          <w:szCs w:val="28"/>
        </w:rPr>
        <w:instrText xml:space="preserve"> TOC \h \z \c "表2." </w:instrText>
      </w:r>
      <w:r>
        <w:rPr>
          <w:rFonts w:ascii="仿宋_GB2312" w:eastAsia="仿宋_GB2312" w:hAnsiTheme="minorEastAsia"/>
          <w:sz w:val="28"/>
          <w:szCs w:val="28"/>
        </w:rPr>
        <w:fldChar w:fldCharType="separate"/>
      </w:r>
      <w:r>
        <w:fldChar w:fldCharType="begin"/>
      </w:r>
      <w:r>
        <w:instrText xml:space="preserve"> HYPERLINK \l "_Toc124170642" </w:instrText>
      </w:r>
      <w:r>
        <w:fldChar w:fldCharType="separate"/>
      </w:r>
      <w:r>
        <w:rPr>
          <w:rStyle w:val="26"/>
          <w:rFonts w:ascii="仿宋_GB2312" w:eastAsia="仿宋_GB2312" w:hAnsiTheme="minorEastAsia"/>
          <w:b/>
        </w:rPr>
        <w:t>表2. 1  2022年</w:t>
      </w:r>
      <w:r>
        <w:rPr>
          <w:rStyle w:val="26"/>
          <w:rFonts w:hint="eastAsia" w:ascii="仿宋_GB2312" w:eastAsia="仿宋_GB2312" w:hAnsiTheme="minorEastAsia"/>
          <w:b/>
        </w:rPr>
        <w:t>招生</w:t>
      </w:r>
      <w:r>
        <w:rPr>
          <w:rStyle w:val="26"/>
          <w:rFonts w:ascii="仿宋_GB2312" w:eastAsia="仿宋_GB2312" w:hAnsiTheme="minorEastAsia"/>
          <w:b/>
        </w:rPr>
        <w:t>专业一览表</w:t>
      </w:r>
      <w:r>
        <w:tab/>
      </w:r>
      <w:r>
        <w:fldChar w:fldCharType="begin"/>
      </w:r>
      <w:r>
        <w:instrText xml:space="preserve"> PAGEREF _Toc124170642 \h </w:instrText>
      </w:r>
      <w:r>
        <w:fldChar w:fldCharType="separate"/>
      </w:r>
      <w:r>
        <w:t>24</w:t>
      </w:r>
      <w:r>
        <w:fldChar w:fldCharType="end"/>
      </w:r>
      <w:r>
        <w:fldChar w:fldCharType="end"/>
      </w:r>
    </w:p>
    <w:p>
      <w:pPr>
        <w:pStyle w:val="16"/>
        <w:tabs>
          <w:tab w:val="right" w:leader="dot" w:pos="9629"/>
        </w:tabs>
        <w:ind w:left="840" w:hanging="420"/>
      </w:pPr>
      <w:r>
        <w:fldChar w:fldCharType="begin"/>
      </w:r>
      <w:r>
        <w:instrText xml:space="preserve"> HYPERLINK \l "_Toc124170643" </w:instrText>
      </w:r>
      <w:r>
        <w:fldChar w:fldCharType="separate"/>
      </w:r>
      <w:r>
        <w:rPr>
          <w:rStyle w:val="26"/>
          <w:rFonts w:ascii="仿宋_GB2312" w:eastAsia="仿宋_GB2312" w:hAnsiTheme="minorEastAsia"/>
          <w:b/>
        </w:rPr>
        <w:t>表2. 2  2022年专业群</w:t>
      </w:r>
      <w:r>
        <w:rPr>
          <w:rStyle w:val="26"/>
          <w:rFonts w:hint="eastAsia" w:ascii="仿宋_GB2312" w:eastAsia="仿宋_GB2312" w:hAnsiTheme="minorEastAsia"/>
          <w:b/>
        </w:rPr>
        <w:t>分布</w:t>
      </w:r>
      <w:r>
        <w:rPr>
          <w:rStyle w:val="26"/>
          <w:rFonts w:ascii="仿宋_GB2312" w:eastAsia="仿宋_GB2312" w:hAnsiTheme="minorEastAsia"/>
          <w:b/>
        </w:rPr>
        <w:t>一览表</w:t>
      </w:r>
      <w:r>
        <w:tab/>
      </w:r>
      <w:r>
        <w:fldChar w:fldCharType="begin"/>
      </w:r>
      <w:r>
        <w:instrText xml:space="preserve"> PAGEREF _Toc124170643 \h </w:instrText>
      </w:r>
      <w:r>
        <w:fldChar w:fldCharType="separate"/>
      </w:r>
      <w:r>
        <w:t>27</w:t>
      </w:r>
      <w:r>
        <w:fldChar w:fldCharType="end"/>
      </w:r>
      <w:r>
        <w:fldChar w:fldCharType="end"/>
      </w:r>
    </w:p>
    <w:p>
      <w:pPr>
        <w:pStyle w:val="16"/>
        <w:tabs>
          <w:tab w:val="right" w:leader="dot" w:pos="9629"/>
        </w:tabs>
        <w:ind w:left="840" w:hanging="420"/>
      </w:pPr>
      <w:r>
        <w:fldChar w:fldCharType="begin"/>
      </w:r>
      <w:r>
        <w:instrText xml:space="preserve"> HYPERLINK \l "_Toc124170644" </w:instrText>
      </w:r>
      <w:r>
        <w:fldChar w:fldCharType="separate"/>
      </w:r>
      <w:r>
        <w:rPr>
          <w:rStyle w:val="26"/>
          <w:rFonts w:ascii="仿宋_GB2312" w:eastAsia="仿宋_GB2312" w:hAnsiTheme="minorEastAsia"/>
          <w:b/>
        </w:rPr>
        <w:t>表2. 3  教学资源表</w:t>
      </w:r>
      <w:r>
        <w:tab/>
      </w:r>
      <w:r>
        <w:fldChar w:fldCharType="begin"/>
      </w:r>
      <w:r>
        <w:instrText xml:space="preserve"> PAGEREF _Toc124170644 \h </w:instrText>
      </w:r>
      <w:r>
        <w:fldChar w:fldCharType="separate"/>
      </w:r>
      <w:r>
        <w:t>35</w:t>
      </w:r>
      <w:r>
        <w:fldChar w:fldCharType="end"/>
      </w:r>
      <w:r>
        <w:fldChar w:fldCharType="end"/>
      </w:r>
    </w:p>
    <w:p>
      <w:pPr>
        <w:pStyle w:val="16"/>
        <w:tabs>
          <w:tab w:val="right" w:leader="dot" w:pos="9629"/>
        </w:tabs>
        <w:ind w:left="840" w:hanging="420"/>
      </w:pPr>
      <w:r>
        <w:fldChar w:fldCharType="begin"/>
      </w:r>
      <w:r>
        <w:instrText xml:space="preserve"> HYPERLINK \l "_Toc124170645" </w:instrText>
      </w:r>
      <w:r>
        <w:fldChar w:fldCharType="separate"/>
      </w:r>
      <w:r>
        <w:rPr>
          <w:rStyle w:val="26"/>
          <w:rFonts w:ascii="仿宋_GB2312" w:eastAsia="仿宋_GB2312" w:hAnsiTheme="minorEastAsia"/>
          <w:b/>
          <w:bCs/>
        </w:rPr>
        <w:t>表2. 4  校内实训室建设一览表（2020-2022）</w:t>
      </w:r>
      <w:r>
        <w:tab/>
      </w:r>
      <w:r>
        <w:fldChar w:fldCharType="begin"/>
      </w:r>
      <w:r>
        <w:instrText xml:space="preserve"> PAGEREF _Toc124170645 \h </w:instrText>
      </w:r>
      <w:r>
        <w:fldChar w:fldCharType="separate"/>
      </w:r>
      <w:r>
        <w:t>38</w:t>
      </w:r>
      <w:r>
        <w:fldChar w:fldCharType="end"/>
      </w:r>
      <w:r>
        <w:fldChar w:fldCharType="end"/>
      </w:r>
    </w:p>
    <w:p>
      <w:pPr>
        <w:pStyle w:val="16"/>
        <w:tabs>
          <w:tab w:val="right" w:leader="dot" w:pos="9629"/>
        </w:tabs>
        <w:ind w:left="840" w:hanging="420"/>
      </w:pPr>
      <w:r>
        <w:fldChar w:fldCharType="begin"/>
      </w:r>
      <w:r>
        <w:instrText xml:space="preserve"> HYPERLINK \l "_Toc124170646" </w:instrText>
      </w:r>
      <w:r>
        <w:fldChar w:fldCharType="separate"/>
      </w:r>
      <w:r>
        <w:rPr>
          <w:rStyle w:val="26"/>
          <w:rFonts w:ascii="仿宋_GB2312" w:eastAsia="仿宋_GB2312" w:hAnsiTheme="minorEastAsia"/>
          <w:b/>
        </w:rPr>
        <w:t>表2. 5 2021-2022学年省、市级质量工程</w:t>
      </w:r>
      <w:r>
        <w:tab/>
      </w:r>
      <w:r>
        <w:fldChar w:fldCharType="begin"/>
      </w:r>
      <w:r>
        <w:instrText xml:space="preserve"> PAGEREF _Toc124170646 \h </w:instrText>
      </w:r>
      <w:r>
        <w:fldChar w:fldCharType="separate"/>
      </w:r>
      <w:r>
        <w:t>41</w:t>
      </w:r>
      <w:r>
        <w:fldChar w:fldCharType="end"/>
      </w:r>
      <w:r>
        <w:fldChar w:fldCharType="end"/>
      </w:r>
      <w:r>
        <w:rPr>
          <w:rFonts w:ascii="仿宋_GB2312" w:eastAsia="仿宋_GB2312" w:hAnsiTheme="minorEastAsia"/>
          <w:sz w:val="28"/>
          <w:szCs w:val="28"/>
        </w:rPr>
        <w:fldChar w:fldCharType="end"/>
      </w:r>
      <w:r>
        <w:rPr>
          <w:rFonts w:ascii="仿宋_GB2312" w:eastAsia="仿宋_GB2312" w:hAnsiTheme="minorEastAsia"/>
          <w:sz w:val="28"/>
          <w:szCs w:val="28"/>
        </w:rPr>
        <w:fldChar w:fldCharType="begin"/>
      </w:r>
      <w:r>
        <w:rPr>
          <w:rFonts w:ascii="仿宋_GB2312" w:eastAsia="仿宋_GB2312" w:hAnsiTheme="minorEastAsia"/>
          <w:sz w:val="28"/>
          <w:szCs w:val="28"/>
        </w:rPr>
        <w:instrText xml:space="preserve"> TOC \h \z \c "表3." </w:instrText>
      </w:r>
      <w:r>
        <w:rPr>
          <w:rFonts w:ascii="仿宋_GB2312" w:eastAsia="仿宋_GB2312" w:hAnsiTheme="minorEastAsia"/>
          <w:sz w:val="28"/>
          <w:szCs w:val="28"/>
        </w:rPr>
        <w:fldChar w:fldCharType="separate"/>
      </w:r>
    </w:p>
    <w:p>
      <w:pPr>
        <w:pStyle w:val="16"/>
        <w:tabs>
          <w:tab w:val="right" w:leader="dot" w:pos="9629"/>
        </w:tabs>
        <w:ind w:left="840" w:hanging="420"/>
      </w:pPr>
      <w:r>
        <w:fldChar w:fldCharType="begin"/>
      </w:r>
      <w:r>
        <w:instrText xml:space="preserve"> HYPERLINK \l "_Toc124170650" </w:instrText>
      </w:r>
      <w:r>
        <w:fldChar w:fldCharType="separate"/>
      </w:r>
      <w:r>
        <w:rPr>
          <w:rStyle w:val="26"/>
          <w:rFonts w:ascii="仿宋_GB2312" w:eastAsia="仿宋_GB2312" w:hAnsiTheme="minorEastAsia"/>
          <w:b/>
        </w:rPr>
        <w:t>表3. 1 服务贡献表</w:t>
      </w:r>
      <w:r>
        <w:tab/>
      </w:r>
      <w:r>
        <w:fldChar w:fldCharType="begin"/>
      </w:r>
      <w:r>
        <w:instrText xml:space="preserve"> PAGEREF _Toc124170650 \h </w:instrText>
      </w:r>
      <w:r>
        <w:fldChar w:fldCharType="separate"/>
      </w:r>
      <w:r>
        <w:t>49</w:t>
      </w:r>
      <w:r>
        <w:fldChar w:fldCharType="end"/>
      </w:r>
      <w:r>
        <w:fldChar w:fldCharType="end"/>
      </w:r>
    </w:p>
    <w:p>
      <w:pPr>
        <w:pStyle w:val="16"/>
        <w:tabs>
          <w:tab w:val="right" w:leader="dot" w:pos="9629"/>
        </w:tabs>
        <w:ind w:left="840" w:hanging="420"/>
      </w:pPr>
      <w:r>
        <w:fldChar w:fldCharType="begin"/>
      </w:r>
      <w:r>
        <w:instrText xml:space="preserve"> HYPERLINK \l "_Toc124170651" </w:instrText>
      </w:r>
      <w:r>
        <w:fldChar w:fldCharType="separate"/>
      </w:r>
      <w:r>
        <w:rPr>
          <w:rStyle w:val="26"/>
          <w:rFonts w:ascii="仿宋_GB2312" w:eastAsia="仿宋_GB2312" w:hAnsiTheme="minorEastAsia"/>
          <w:b/>
        </w:rPr>
        <w:t>表3. 2 落实政策表</w:t>
      </w:r>
      <w:r>
        <w:tab/>
      </w:r>
      <w:r>
        <w:fldChar w:fldCharType="begin"/>
      </w:r>
      <w:r>
        <w:instrText xml:space="preserve"> PAGEREF _Toc124170651 \h </w:instrText>
      </w:r>
      <w:r>
        <w:fldChar w:fldCharType="separate"/>
      </w:r>
      <w:r>
        <w:t>52</w:t>
      </w:r>
      <w:r>
        <w:fldChar w:fldCharType="end"/>
      </w:r>
      <w:r>
        <w:fldChar w:fldCharType="end"/>
      </w:r>
    </w:p>
    <w:p>
      <w:pPr>
        <w:pStyle w:val="16"/>
        <w:tabs>
          <w:tab w:val="right" w:leader="dot" w:pos="9629"/>
        </w:tabs>
        <w:ind w:left="980" w:hanging="560"/>
      </w:pPr>
      <w:r>
        <w:rPr>
          <w:rFonts w:ascii="仿宋_GB2312" w:eastAsia="仿宋_GB2312" w:hAnsiTheme="minorEastAsia"/>
          <w:sz w:val="28"/>
          <w:szCs w:val="28"/>
        </w:rPr>
        <w:fldChar w:fldCharType="end"/>
      </w:r>
      <w:r>
        <w:rPr>
          <w:rFonts w:ascii="仿宋_GB2312" w:eastAsia="仿宋_GB2312" w:hAnsiTheme="minorEastAsia"/>
          <w:sz w:val="28"/>
          <w:szCs w:val="28"/>
        </w:rPr>
        <w:fldChar w:fldCharType="begin"/>
      </w:r>
      <w:r>
        <w:rPr>
          <w:rFonts w:ascii="仿宋_GB2312" w:eastAsia="仿宋_GB2312" w:hAnsiTheme="minorEastAsia"/>
          <w:sz w:val="28"/>
          <w:szCs w:val="28"/>
        </w:rPr>
        <w:instrText xml:space="preserve"> TOC \h \z \c "表4." </w:instrText>
      </w:r>
      <w:r>
        <w:rPr>
          <w:rFonts w:ascii="仿宋_GB2312" w:eastAsia="仿宋_GB2312" w:hAnsiTheme="minorEastAsia"/>
          <w:sz w:val="28"/>
          <w:szCs w:val="28"/>
        </w:rPr>
        <w:fldChar w:fldCharType="separate"/>
      </w:r>
      <w:r>
        <w:fldChar w:fldCharType="begin"/>
      </w:r>
      <w:r>
        <w:instrText xml:space="preserve"> HYPERLINK \l "_Toc124170727" </w:instrText>
      </w:r>
      <w:r>
        <w:fldChar w:fldCharType="separate"/>
      </w:r>
      <w:r>
        <w:rPr>
          <w:rStyle w:val="26"/>
          <w:rFonts w:ascii="仿宋_GB2312" w:eastAsia="仿宋_GB2312" w:hAnsiTheme="minorEastAsia"/>
          <w:b/>
        </w:rPr>
        <w:t>表4. 1 国际影响表</w:t>
      </w:r>
      <w:r>
        <w:tab/>
      </w:r>
      <w:r>
        <w:fldChar w:fldCharType="begin"/>
      </w:r>
      <w:r>
        <w:instrText xml:space="preserve"> PAGEREF _Toc124170727 \h </w:instrText>
      </w:r>
      <w:r>
        <w:fldChar w:fldCharType="separate"/>
      </w:r>
      <w:r>
        <w:t>64</w:t>
      </w:r>
      <w:r>
        <w:fldChar w:fldCharType="end"/>
      </w:r>
      <w:r>
        <w:fldChar w:fldCharType="end"/>
      </w:r>
    </w:p>
    <w:p>
      <w:pPr>
        <w:pStyle w:val="16"/>
        <w:tabs>
          <w:tab w:val="right" w:leader="dot" w:pos="9629"/>
        </w:tabs>
        <w:ind w:left="980" w:hanging="560"/>
      </w:pPr>
      <w:r>
        <w:rPr>
          <w:rFonts w:ascii="仿宋_GB2312" w:eastAsia="仿宋_GB2312" w:hAnsiTheme="minorEastAsia"/>
          <w:sz w:val="28"/>
          <w:szCs w:val="28"/>
        </w:rPr>
        <w:fldChar w:fldCharType="end"/>
      </w:r>
    </w:p>
    <w:p>
      <w:pPr>
        <w:widowControl/>
        <w:jc w:val="left"/>
        <w:rPr>
          <w:rFonts w:ascii="仿宋_GB2312" w:eastAsia="仿宋_GB2312" w:hAnsiTheme="minorEastAsia"/>
          <w:sz w:val="28"/>
          <w:szCs w:val="28"/>
        </w:rPr>
      </w:pPr>
    </w:p>
    <w:p>
      <w:pPr>
        <w:widowControl/>
        <w:jc w:val="left"/>
        <w:rPr>
          <w:rFonts w:ascii="仿宋_GB2312" w:eastAsia="仿宋_GB2312" w:hAnsiTheme="minorEastAsia"/>
          <w:sz w:val="28"/>
          <w:szCs w:val="28"/>
        </w:rPr>
      </w:pPr>
    </w:p>
    <w:p>
      <w:pPr>
        <w:widowControl/>
        <w:jc w:val="left"/>
        <w:rPr>
          <w:rFonts w:ascii="仿宋_GB2312" w:eastAsia="仿宋_GB2312" w:hAnsiTheme="minorEastAsia"/>
          <w:sz w:val="28"/>
          <w:szCs w:val="28"/>
        </w:rPr>
      </w:pPr>
      <w:r>
        <w:rPr>
          <w:rFonts w:ascii="仿宋_GB2312" w:eastAsia="仿宋_GB2312" w:hAnsiTheme="minorEastAsia"/>
          <w:sz w:val="28"/>
          <w:szCs w:val="28"/>
        </w:rPr>
        <w:br w:type="page"/>
      </w:r>
    </w:p>
    <w:p>
      <w:pPr>
        <w:widowControl/>
        <w:jc w:val="left"/>
        <w:rPr>
          <w:rFonts w:ascii="仿宋_GB2312" w:eastAsia="仿宋_GB2312" w:hAnsiTheme="minorEastAsia"/>
          <w:b/>
          <w:bCs/>
          <w:kern w:val="44"/>
          <w:sz w:val="28"/>
          <w:szCs w:val="28"/>
        </w:rPr>
        <w:sectPr>
          <w:footerReference r:id="rId12" w:type="first"/>
          <w:footerReference r:id="rId11" w:type="default"/>
          <w:pgSz w:w="11907" w:h="16840"/>
          <w:pgMar w:top="1134" w:right="1134" w:bottom="1134" w:left="1134" w:header="0" w:footer="0" w:gutter="0"/>
          <w:pgNumType w:start="1"/>
          <w:cols w:space="425" w:num="1"/>
          <w:titlePg/>
          <w:docGrid w:type="lines" w:linePitch="312" w:charSpace="0"/>
        </w:sectPr>
      </w:pPr>
    </w:p>
    <w:p>
      <w:pPr>
        <w:widowControl/>
        <w:jc w:val="left"/>
        <w:rPr>
          <w:rFonts w:ascii="仿宋_GB2312" w:eastAsia="仿宋_GB2312" w:hAnsiTheme="minorEastAsia"/>
          <w:b/>
          <w:bCs/>
          <w:kern w:val="44"/>
          <w:sz w:val="28"/>
          <w:szCs w:val="28"/>
        </w:rPr>
      </w:pPr>
    </w:p>
    <w:p>
      <w:pPr>
        <w:pStyle w:val="2"/>
        <w:spacing w:before="0" w:after="0" w:line="360" w:lineRule="auto"/>
        <w:jc w:val="center"/>
        <w:rPr>
          <w:rFonts w:ascii="仿宋_GB2312" w:eastAsia="仿宋_GB2312" w:hAnsiTheme="minorEastAsia"/>
          <w:sz w:val="28"/>
          <w:szCs w:val="28"/>
        </w:rPr>
      </w:pPr>
      <w:r>
        <w:rPr>
          <w:rFonts w:hint="eastAsia" w:ascii="仿宋_GB2312" w:eastAsia="仿宋_GB2312" w:hAnsiTheme="minorEastAsia"/>
          <w:sz w:val="28"/>
          <w:szCs w:val="28"/>
        </w:rPr>
        <w:t>前   言</w:t>
      </w:r>
      <w:bookmarkEnd w:id="1"/>
      <w:bookmarkEnd w:id="2"/>
      <w:bookmarkEnd w:id="3"/>
      <w:bookmarkEnd w:id="4"/>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苏州高博软件技术职业学院于</w:t>
      </w:r>
      <w:r>
        <w:rPr>
          <w:rFonts w:ascii="仿宋" w:hAnsi="仿宋" w:eastAsia="仿宋"/>
          <w:sz w:val="28"/>
          <w:szCs w:val="28"/>
        </w:rPr>
        <w:t>2007</w:t>
      </w:r>
      <w:r>
        <w:rPr>
          <w:rFonts w:hint="eastAsia" w:ascii="仿宋" w:hAnsi="仿宋" w:eastAsia="仿宋"/>
          <w:sz w:val="28"/>
          <w:szCs w:val="28"/>
        </w:rPr>
        <w:t>年3月由微软（中国）有限公司、苏州高新区科技城和高博教育管理（苏州）有限公司三方合作创办，2016年</w:t>
      </w:r>
      <w:r>
        <w:rPr>
          <w:rFonts w:ascii="仿宋" w:hAnsi="仿宋" w:eastAsia="仿宋"/>
          <w:sz w:val="28"/>
          <w:szCs w:val="28"/>
        </w:rPr>
        <w:t>吴中集团加盟</w:t>
      </w:r>
      <w:r>
        <w:rPr>
          <w:rFonts w:hint="eastAsia" w:ascii="仿宋" w:hAnsi="仿宋" w:eastAsia="仿宋"/>
          <w:sz w:val="28"/>
          <w:szCs w:val="28"/>
        </w:rPr>
        <w:t>并成为第一举</w:t>
      </w:r>
      <w:r>
        <w:rPr>
          <w:rFonts w:ascii="仿宋" w:hAnsi="仿宋" w:eastAsia="仿宋"/>
          <w:sz w:val="28"/>
          <w:szCs w:val="28"/>
        </w:rPr>
        <w:t>办方。</w:t>
      </w:r>
      <w:r>
        <w:rPr>
          <w:rFonts w:hint="eastAsia" w:ascii="仿宋" w:hAnsi="仿宋" w:eastAsia="仿宋"/>
          <w:sz w:val="28"/>
          <w:szCs w:val="28"/>
        </w:rPr>
        <w:t>近年来，学校坚持“国际</w:t>
      </w:r>
      <w:r>
        <w:rPr>
          <w:rFonts w:ascii="仿宋" w:hAnsi="仿宋" w:eastAsia="仿宋"/>
          <w:sz w:val="28"/>
          <w:szCs w:val="28"/>
        </w:rPr>
        <w:t>化</w:t>
      </w:r>
      <w:r>
        <w:rPr>
          <w:rFonts w:hint="eastAsia" w:ascii="仿宋" w:hAnsi="仿宋" w:eastAsia="仿宋"/>
          <w:sz w:val="28"/>
          <w:szCs w:val="28"/>
        </w:rPr>
        <w:t>办学</w:t>
      </w:r>
      <w:r>
        <w:rPr>
          <w:rFonts w:ascii="仿宋" w:hAnsi="仿宋" w:eastAsia="仿宋"/>
          <w:sz w:val="28"/>
          <w:szCs w:val="28"/>
        </w:rPr>
        <w:t>、特色化发展</w:t>
      </w:r>
      <w:r>
        <w:rPr>
          <w:rFonts w:hint="eastAsia" w:ascii="仿宋" w:hAnsi="仿宋" w:eastAsia="仿宋"/>
          <w:sz w:val="28"/>
          <w:szCs w:val="28"/>
        </w:rPr>
        <w:t>、职场化</w:t>
      </w:r>
      <w:r>
        <w:rPr>
          <w:rFonts w:ascii="仿宋" w:hAnsi="仿宋" w:eastAsia="仿宋"/>
          <w:sz w:val="28"/>
          <w:szCs w:val="28"/>
        </w:rPr>
        <w:t>育人</w:t>
      </w:r>
      <w:r>
        <w:rPr>
          <w:rFonts w:hint="eastAsia" w:ascii="仿宋" w:hAnsi="仿宋" w:eastAsia="仿宋"/>
          <w:sz w:val="28"/>
          <w:szCs w:val="28"/>
        </w:rPr>
        <w:t>”办学理念，办学综合实力在不断增强，社会影响持续提升，已形成 “政、产、校、企及海外优质教育资源”等多方参与，普通专科、学历与非学历教育相结合及国际化合作办学等多层次办学格局，专业人才培养质量稳步提高，育人工程进入良性轨道</w:t>
      </w:r>
      <w:bookmarkStart w:id="5" w:name="_Toc500492273"/>
      <w:r>
        <w:rPr>
          <w:rFonts w:hint="eastAsia" w:ascii="仿宋" w:hAnsi="仿宋" w:eastAsia="仿宋"/>
          <w:sz w:val="28"/>
          <w:szCs w:val="28"/>
        </w:rPr>
        <w:t>。新时代、新征程、新作为。2</w:t>
      </w:r>
      <w:r>
        <w:rPr>
          <w:rFonts w:ascii="仿宋" w:hAnsi="仿宋" w:eastAsia="仿宋"/>
          <w:sz w:val="28"/>
          <w:szCs w:val="28"/>
        </w:rPr>
        <w:t>021—2022</w:t>
      </w:r>
      <w:r>
        <w:rPr>
          <w:rFonts w:hint="eastAsia" w:ascii="仿宋" w:hAnsi="仿宋" w:eastAsia="仿宋"/>
          <w:sz w:val="28"/>
          <w:szCs w:val="28"/>
        </w:rPr>
        <w:t>学年在校党委、校行政的正确领导下，全校师生共同努力，该校办学、育人等各种事业均扎实推进。中国管理科学研究院武书连教授《中国大学评价》课题组的《2021中国高职高专排行榜发布》，该校入选中国一流民办高职高专名单。</w:t>
      </w:r>
      <w:bookmarkStart w:id="6" w:name="_Hlk106695812"/>
      <w:r>
        <w:rPr>
          <w:rFonts w:hint="eastAsia" w:ascii="仿宋" w:hAnsi="仿宋" w:eastAsia="仿宋"/>
          <w:sz w:val="28"/>
          <w:szCs w:val="28"/>
        </w:rPr>
        <w:t>2022年GDI高职高专排行榜</w:t>
      </w:r>
      <w:bookmarkEnd w:id="6"/>
      <w:r>
        <w:rPr>
          <w:rFonts w:hint="eastAsia" w:ascii="仿宋" w:hAnsi="仿宋" w:eastAsia="仿宋"/>
          <w:sz w:val="28"/>
          <w:szCs w:val="28"/>
        </w:rPr>
        <w:t>，该校在民办排行榜全国排名第22位，江苏省排名第1位。</w:t>
      </w:r>
    </w:p>
    <w:p>
      <w:pPr>
        <w:pStyle w:val="2"/>
        <w:spacing w:before="0" w:after="0" w:line="360" w:lineRule="auto"/>
        <w:ind w:firstLine="643" w:firstLineChars="200"/>
        <w:rPr>
          <w:rFonts w:ascii="黑体" w:hAnsi="黑体" w:eastAsia="黑体"/>
          <w:sz w:val="32"/>
          <w:szCs w:val="32"/>
        </w:rPr>
      </w:pPr>
      <w:bookmarkStart w:id="7" w:name="_Toc533519396"/>
      <w:bookmarkStart w:id="8" w:name="_Toc532826530"/>
      <w:bookmarkStart w:id="9" w:name="_Toc124087873"/>
      <w:r>
        <w:rPr>
          <w:rFonts w:hint="eastAsia" w:ascii="黑体" w:hAnsi="黑体" w:eastAsia="黑体"/>
          <w:sz w:val="32"/>
          <w:szCs w:val="32"/>
        </w:rPr>
        <w:t>1.学生发展</w:t>
      </w:r>
      <w:bookmarkEnd w:id="5"/>
      <w:bookmarkEnd w:id="7"/>
      <w:bookmarkEnd w:id="8"/>
      <w:bookmarkEnd w:id="9"/>
    </w:p>
    <w:p>
      <w:pPr>
        <w:adjustRightInd w:val="0"/>
        <w:snapToGrid w:val="0"/>
        <w:spacing w:line="360" w:lineRule="auto"/>
        <w:ind w:firstLine="560" w:firstLineChars="200"/>
        <w:rPr>
          <w:rFonts w:ascii="仿宋" w:hAnsi="仿宋" w:eastAsia="仿宋"/>
          <w:sz w:val="28"/>
          <w:szCs w:val="28"/>
        </w:rPr>
      </w:pPr>
      <w:bookmarkStart w:id="10" w:name="_Toc500492274"/>
      <w:r>
        <w:rPr>
          <w:rFonts w:hint="eastAsia" w:ascii="仿宋" w:hAnsi="仿宋" w:eastAsia="仿宋"/>
          <w:sz w:val="28"/>
          <w:szCs w:val="28"/>
        </w:rPr>
        <w:t>202</w:t>
      </w:r>
      <w:r>
        <w:rPr>
          <w:rFonts w:ascii="仿宋" w:hAnsi="仿宋" w:eastAsia="仿宋"/>
          <w:sz w:val="28"/>
          <w:szCs w:val="28"/>
        </w:rPr>
        <w:t>2</w:t>
      </w:r>
      <w:r>
        <w:rPr>
          <w:rFonts w:hint="eastAsia" w:ascii="仿宋" w:hAnsi="仿宋" w:eastAsia="仿宋"/>
          <w:sz w:val="28"/>
          <w:szCs w:val="28"/>
        </w:rPr>
        <w:t>学年全日制高职学历教育在校学生</w:t>
      </w:r>
      <w:r>
        <w:rPr>
          <w:rFonts w:ascii="仿宋" w:hAnsi="仿宋" w:eastAsia="仿宋"/>
          <w:sz w:val="28"/>
          <w:szCs w:val="28"/>
        </w:rPr>
        <w:t>7084</w:t>
      </w:r>
      <w:r>
        <w:rPr>
          <w:rFonts w:hint="eastAsia" w:ascii="仿宋" w:hAnsi="仿宋" w:eastAsia="仿宋"/>
          <w:sz w:val="28"/>
          <w:szCs w:val="28"/>
        </w:rPr>
        <w:t>人，比前一年有所增加。其中面向社会招生</w:t>
      </w:r>
      <w:r>
        <w:rPr>
          <w:rFonts w:ascii="仿宋" w:hAnsi="仿宋" w:eastAsia="仿宋"/>
          <w:sz w:val="28"/>
          <w:szCs w:val="28"/>
        </w:rPr>
        <w:t>270</w:t>
      </w:r>
      <w:r>
        <w:rPr>
          <w:rFonts w:hint="eastAsia" w:ascii="仿宋" w:hAnsi="仿宋" w:eastAsia="仿宋"/>
          <w:sz w:val="28"/>
          <w:szCs w:val="28"/>
        </w:rPr>
        <w:t>人；国际留学生1</w:t>
      </w:r>
      <w:r>
        <w:rPr>
          <w:rFonts w:ascii="仿宋" w:hAnsi="仿宋" w:eastAsia="仿宋"/>
          <w:sz w:val="28"/>
          <w:szCs w:val="28"/>
        </w:rPr>
        <w:t>8</w:t>
      </w:r>
      <w:r>
        <w:rPr>
          <w:rFonts w:hint="eastAsia" w:ascii="仿宋" w:hAnsi="仿宋" w:eastAsia="仿宋"/>
          <w:sz w:val="28"/>
          <w:szCs w:val="28"/>
        </w:rPr>
        <w:t>人；中职起点学生34</w:t>
      </w:r>
      <w:r>
        <w:rPr>
          <w:rFonts w:ascii="仿宋" w:hAnsi="仿宋" w:eastAsia="仿宋"/>
          <w:sz w:val="28"/>
          <w:szCs w:val="28"/>
        </w:rPr>
        <w:t>69</w:t>
      </w:r>
      <w:r>
        <w:rPr>
          <w:rFonts w:hint="eastAsia" w:ascii="仿宋" w:hAnsi="仿宋" w:eastAsia="仿宋"/>
          <w:sz w:val="28"/>
          <w:szCs w:val="28"/>
        </w:rPr>
        <w:t>人；高中起点学生增加比率最高，为3</w:t>
      </w:r>
      <w:r>
        <w:rPr>
          <w:rFonts w:ascii="仿宋" w:hAnsi="仿宋" w:eastAsia="仿宋"/>
          <w:sz w:val="28"/>
          <w:szCs w:val="28"/>
        </w:rPr>
        <w:t>327</w:t>
      </w:r>
      <w:r>
        <w:rPr>
          <w:rFonts w:hint="eastAsia" w:ascii="仿宋" w:hAnsi="仿宋" w:eastAsia="仿宋"/>
          <w:sz w:val="28"/>
          <w:szCs w:val="28"/>
        </w:rPr>
        <w:t>人。学生数量增加，质量趋好。2</w:t>
      </w:r>
      <w:r>
        <w:rPr>
          <w:rFonts w:ascii="仿宋" w:hAnsi="仿宋" w:eastAsia="仿宋"/>
          <w:sz w:val="28"/>
          <w:szCs w:val="28"/>
        </w:rPr>
        <w:t>022</w:t>
      </w:r>
      <w:r>
        <w:rPr>
          <w:rFonts w:hint="eastAsia" w:ascii="仿宋" w:hAnsi="仿宋" w:eastAsia="仿宋"/>
          <w:sz w:val="28"/>
          <w:szCs w:val="28"/>
        </w:rPr>
        <w:t>学年应届生初次就业率9</w:t>
      </w:r>
      <w:r>
        <w:rPr>
          <w:rFonts w:ascii="仿宋" w:hAnsi="仿宋" w:eastAsia="仿宋"/>
          <w:sz w:val="28"/>
          <w:szCs w:val="28"/>
        </w:rPr>
        <w:t>0.56%</w:t>
      </w:r>
      <w:r>
        <w:rPr>
          <w:rFonts w:hint="eastAsia" w:ascii="仿宋" w:hAnsi="仿宋" w:eastAsia="仿宋"/>
          <w:sz w:val="28"/>
          <w:szCs w:val="28"/>
        </w:rPr>
        <w:t>，直接就业率8</w:t>
      </w:r>
      <w:r>
        <w:rPr>
          <w:rFonts w:ascii="仿宋" w:hAnsi="仿宋" w:eastAsia="仿宋"/>
          <w:sz w:val="28"/>
          <w:szCs w:val="28"/>
        </w:rPr>
        <w:t>8.53%</w:t>
      </w:r>
      <w:r>
        <w:rPr>
          <w:rFonts w:hint="eastAsia" w:ascii="仿宋" w:hAnsi="仿宋" w:eastAsia="仿宋"/>
          <w:sz w:val="28"/>
          <w:szCs w:val="28"/>
        </w:rPr>
        <w:t>，对口就业率5</w:t>
      </w:r>
      <w:r>
        <w:rPr>
          <w:rFonts w:ascii="仿宋" w:hAnsi="仿宋" w:eastAsia="仿宋"/>
          <w:sz w:val="28"/>
          <w:szCs w:val="28"/>
        </w:rPr>
        <w:t>0.72%</w:t>
      </w:r>
      <w:r>
        <w:rPr>
          <w:rFonts w:hint="eastAsia" w:ascii="仿宋" w:hAnsi="仿宋" w:eastAsia="仿宋"/>
          <w:sz w:val="28"/>
          <w:szCs w:val="28"/>
        </w:rPr>
        <w:t>，需要改进；上届学生年终就业率9</w:t>
      </w:r>
      <w:r>
        <w:rPr>
          <w:rFonts w:ascii="仿宋" w:hAnsi="仿宋" w:eastAsia="仿宋"/>
          <w:sz w:val="28"/>
          <w:szCs w:val="28"/>
        </w:rPr>
        <w:t>8%</w:t>
      </w:r>
      <w:r>
        <w:rPr>
          <w:rFonts w:hint="eastAsia" w:ascii="仿宋" w:hAnsi="仿宋" w:eastAsia="仿宋"/>
          <w:sz w:val="28"/>
          <w:szCs w:val="28"/>
        </w:rPr>
        <w:t>，增加明显。本学年该校学生发展总体情况：党建引领有力量，立德树人有进展；职业发展有进步，育人成效很明显。</w:t>
      </w:r>
    </w:p>
    <w:p>
      <w:pPr>
        <w:pStyle w:val="3"/>
        <w:spacing w:before="0" w:after="0" w:line="360" w:lineRule="auto"/>
        <w:ind w:firstLine="562" w:firstLineChars="200"/>
        <w:rPr>
          <w:rFonts w:ascii="仿宋_GB2312" w:eastAsia="仿宋_GB2312" w:hAnsiTheme="minorEastAsia"/>
          <w:sz w:val="28"/>
          <w:szCs w:val="28"/>
        </w:rPr>
      </w:pPr>
      <w:bookmarkStart w:id="11" w:name="_Toc124087874"/>
      <w:bookmarkStart w:id="12" w:name="_Toc532826531"/>
      <w:bookmarkStart w:id="13" w:name="_Toc533519397"/>
      <w:r>
        <w:rPr>
          <w:rFonts w:hint="eastAsia" w:ascii="仿宋_GB2312" w:eastAsia="仿宋_GB2312" w:hAnsiTheme="minorEastAsia"/>
          <w:sz w:val="28"/>
          <w:szCs w:val="28"/>
        </w:rPr>
        <w:t>1</w:t>
      </w:r>
      <w:r>
        <w:rPr>
          <w:rFonts w:ascii="仿宋_GB2312" w:eastAsia="仿宋_GB2312" w:hAnsiTheme="minorEastAsia"/>
          <w:sz w:val="28"/>
          <w:szCs w:val="28"/>
        </w:rPr>
        <w:t>.1</w:t>
      </w:r>
      <w:bookmarkStart w:id="14" w:name="_Toc119932686"/>
      <w:r>
        <w:rPr>
          <w:rFonts w:hint="eastAsia" w:ascii="仿宋_GB2312" w:eastAsia="仿宋_GB2312" w:hAnsiTheme="minorEastAsia"/>
          <w:sz w:val="28"/>
          <w:szCs w:val="28"/>
        </w:rPr>
        <w:t>党建引领</w:t>
      </w:r>
      <w:bookmarkEnd w:id="11"/>
      <w:bookmarkEnd w:id="14"/>
    </w:p>
    <w:p>
      <w:pPr>
        <w:adjustRightInd w:val="0"/>
        <w:snapToGrid w:val="0"/>
        <w:spacing w:line="360" w:lineRule="auto"/>
        <w:ind w:firstLine="560" w:firstLineChars="200"/>
        <w:rPr>
          <w:rFonts w:ascii="仿宋_GB2312" w:eastAsia="仿宋_GB2312" w:hAnsiTheme="minorEastAsia"/>
          <w:sz w:val="28"/>
          <w:szCs w:val="28"/>
        </w:rPr>
      </w:pPr>
      <w:r>
        <w:rPr>
          <w:rFonts w:hint="eastAsia" w:ascii="仿宋" w:hAnsi="仿宋" w:eastAsia="仿宋"/>
          <w:sz w:val="28"/>
          <w:szCs w:val="28"/>
        </w:rPr>
        <w:t>该校高度重视学校党委工作，重视人才培养、依法治校和可持续、高质量发展的党建引领。根据省委向民办高校选派党委书记的安排，2</w:t>
      </w:r>
      <w:r>
        <w:rPr>
          <w:rFonts w:ascii="仿宋" w:hAnsi="仿宋" w:eastAsia="仿宋"/>
          <w:sz w:val="28"/>
          <w:szCs w:val="28"/>
        </w:rPr>
        <w:t>021</w:t>
      </w:r>
      <w:r>
        <w:rPr>
          <w:rFonts w:hint="eastAsia" w:ascii="仿宋" w:hAnsi="仿宋" w:eastAsia="仿宋"/>
          <w:sz w:val="28"/>
          <w:szCs w:val="28"/>
        </w:rPr>
        <w:t>年1</w:t>
      </w:r>
      <w:r>
        <w:rPr>
          <w:rFonts w:ascii="仿宋" w:hAnsi="仿宋" w:eastAsia="仿宋"/>
          <w:sz w:val="28"/>
          <w:szCs w:val="28"/>
        </w:rPr>
        <w:t>1</w:t>
      </w:r>
      <w:r>
        <w:rPr>
          <w:rFonts w:hint="eastAsia" w:ascii="仿宋" w:hAnsi="仿宋" w:eastAsia="仿宋"/>
          <w:sz w:val="28"/>
          <w:szCs w:val="28"/>
        </w:rPr>
        <w:t>月江苏省委教育工委、苏州市委教育工委结合该校实际情况，做出任命薛辉同志为该校党委书记的决定，并召开任职会。在新一届领导班子带领下，团结带领全校师生开创学校党建工作新局面，推动学校各项事业的系统发展。从教书育人、思想育人、文化育人和环境育人多个方面全面发力，不断强化二级学院基层党组织的战斗堡垒作用，有效调动党员教师和学生模范先锋队示范引领作用，用正能量积极影响全体师生，营造主旋律导向鲜明的新时代校园文化，展示健康向上的师生精神风貌。各二级学院党支部积极开展多种类型主题教育活动，影响、熏陶并触及灵魂，塑造身心，为培养党和国家所需要的优秀人才发挥积极引领作用。本学年，多次开展“信仰公开课”和“梦想公开课”系列活动，均由师生党团干部或优秀学生代表主讲：</w:t>
      </w:r>
      <w:r>
        <w:rPr>
          <w:rFonts w:ascii="仿宋" w:hAnsi="仿宋" w:eastAsia="仿宋"/>
          <w:sz w:val="28"/>
          <w:szCs w:val="28"/>
        </w:rPr>
        <w:t>医学与公共服务学院“忆峥嵘岁月，坚定理想信念”梦想公开课</w:t>
      </w:r>
      <w:r>
        <w:rPr>
          <w:rFonts w:hint="eastAsia" w:ascii="仿宋" w:hAnsi="仿宋" w:eastAsia="仿宋"/>
          <w:sz w:val="28"/>
          <w:szCs w:val="28"/>
        </w:rPr>
        <w:t>、</w:t>
      </w:r>
      <w:r>
        <w:rPr>
          <w:rFonts w:ascii="仿宋" w:hAnsi="仿宋" w:eastAsia="仿宋"/>
          <w:sz w:val="28"/>
          <w:szCs w:val="28"/>
        </w:rPr>
        <w:t>“在疫情中锤炼民族精神”为主题的信仰公开课和“千里之行，始于足下”素养公开课</w:t>
      </w:r>
      <w:r>
        <w:rPr>
          <w:rFonts w:hint="eastAsia" w:ascii="仿宋" w:hAnsi="仿宋" w:eastAsia="仿宋"/>
          <w:sz w:val="28"/>
          <w:szCs w:val="28"/>
        </w:rPr>
        <w:t>；</w:t>
      </w:r>
      <w:r>
        <w:rPr>
          <w:rFonts w:ascii="仿宋" w:hAnsi="仿宋" w:eastAsia="仿宋"/>
          <w:sz w:val="28"/>
          <w:szCs w:val="28"/>
        </w:rPr>
        <w:t>机电工程学院“忆百年峥嵘岁月，请长缨不负青春”素养公开课</w:t>
      </w:r>
      <w:r>
        <w:rPr>
          <w:rFonts w:hint="eastAsia" w:ascii="仿宋" w:hAnsi="仿宋" w:eastAsia="仿宋"/>
          <w:sz w:val="28"/>
          <w:szCs w:val="28"/>
        </w:rPr>
        <w:t>；</w:t>
      </w:r>
      <w:r>
        <w:rPr>
          <w:rFonts w:ascii="仿宋" w:hAnsi="仿宋" w:eastAsia="仿宋"/>
          <w:sz w:val="28"/>
          <w:szCs w:val="28"/>
        </w:rPr>
        <w:t>信息与软件学院以“青春告白祖国”为主题的新思想公开课</w:t>
      </w:r>
      <w:r>
        <w:rPr>
          <w:rFonts w:hint="eastAsia" w:ascii="仿宋" w:hAnsi="仿宋" w:eastAsia="仿宋"/>
          <w:sz w:val="28"/>
          <w:szCs w:val="28"/>
        </w:rPr>
        <w:t>；</w:t>
      </w:r>
      <w:r>
        <w:rPr>
          <w:rFonts w:ascii="仿宋" w:hAnsi="仿宋" w:eastAsia="仿宋"/>
          <w:sz w:val="28"/>
          <w:szCs w:val="28"/>
        </w:rPr>
        <w:t>国际商学院“习近平新时代中国特色社会主义思想——新党章 新时代 新思想”</w:t>
      </w:r>
      <w:r>
        <w:rPr>
          <w:rFonts w:hint="eastAsia" w:ascii="仿宋" w:hAnsi="仿宋" w:eastAsia="仿宋"/>
          <w:sz w:val="28"/>
          <w:szCs w:val="28"/>
        </w:rPr>
        <w:t>公开课。2</w:t>
      </w:r>
      <w:r>
        <w:rPr>
          <w:rFonts w:ascii="仿宋" w:hAnsi="仿宋" w:eastAsia="仿宋"/>
          <w:sz w:val="28"/>
          <w:szCs w:val="28"/>
        </w:rPr>
        <w:t>021</w:t>
      </w:r>
      <w:r>
        <w:rPr>
          <w:rFonts w:hint="eastAsia" w:ascii="仿宋" w:hAnsi="仿宋" w:eastAsia="仿宋"/>
          <w:sz w:val="28"/>
          <w:szCs w:val="28"/>
        </w:rPr>
        <w:t>年4月，</w:t>
      </w:r>
      <w:r>
        <w:rPr>
          <w:rFonts w:ascii="仿宋" w:hAnsi="仿宋" w:eastAsia="仿宋"/>
          <w:sz w:val="28"/>
          <w:szCs w:val="28"/>
        </w:rPr>
        <w:t>国际商学院、信息与软件学院等二级学院组织</w:t>
      </w:r>
      <w:r>
        <w:rPr>
          <w:rFonts w:hint="eastAsia" w:ascii="仿宋" w:hAnsi="仿宋" w:eastAsia="仿宋"/>
          <w:sz w:val="28"/>
          <w:szCs w:val="28"/>
        </w:rPr>
        <w:t>师生</w:t>
      </w:r>
      <w:r>
        <w:rPr>
          <w:rFonts w:ascii="仿宋" w:hAnsi="仿宋" w:eastAsia="仿宋"/>
          <w:sz w:val="28"/>
          <w:szCs w:val="28"/>
        </w:rPr>
        <w:t>在线学习习近平总书记给中国单板滑雪运动员苏翊鸣的重要回信精神活动。</w:t>
      </w:r>
      <w:r>
        <w:rPr>
          <w:rFonts w:hint="eastAsia" w:ascii="仿宋" w:hAnsi="仿宋" w:eastAsia="仿宋"/>
          <w:sz w:val="28"/>
          <w:szCs w:val="28"/>
        </w:rPr>
        <w:t>今年5月以来，</w:t>
      </w:r>
      <w:r>
        <w:rPr>
          <w:rFonts w:ascii="仿宋" w:hAnsi="仿宋" w:eastAsia="仿宋"/>
          <w:sz w:val="28"/>
          <w:szCs w:val="28"/>
        </w:rPr>
        <w:t>围绕建团100周年，上好一节线上主题团课</w:t>
      </w:r>
      <w:r>
        <w:rPr>
          <w:rFonts w:hint="eastAsia" w:ascii="仿宋" w:hAnsi="仿宋" w:eastAsia="仿宋"/>
          <w:sz w:val="28"/>
          <w:szCs w:val="28"/>
        </w:rPr>
        <w:t>，</w:t>
      </w:r>
      <w:r>
        <w:rPr>
          <w:rFonts w:ascii="仿宋" w:hAnsi="仿宋" w:eastAsia="仿宋"/>
          <w:sz w:val="28"/>
          <w:szCs w:val="28"/>
        </w:rPr>
        <w:t>医学与公共服务学院</w:t>
      </w:r>
      <w:r>
        <w:rPr>
          <w:rFonts w:hint="eastAsia" w:ascii="仿宋" w:hAnsi="仿宋" w:eastAsia="仿宋"/>
          <w:sz w:val="28"/>
          <w:szCs w:val="28"/>
        </w:rPr>
        <w:t>的</w:t>
      </w:r>
      <w:r>
        <w:rPr>
          <w:rFonts w:ascii="仿宋" w:hAnsi="仿宋" w:eastAsia="仿宋"/>
          <w:sz w:val="28"/>
          <w:szCs w:val="28"/>
        </w:rPr>
        <w:t xml:space="preserve"> “学习团史，激昂青春”；机电工程学院“回望百年奋斗之路，踏寻百年团史踪迹”；人文社会科学学院“回顾百年历程 汲取奋进力量”等。为</w:t>
      </w:r>
      <w:r>
        <w:rPr>
          <w:rFonts w:hint="eastAsia" w:ascii="仿宋" w:hAnsi="仿宋" w:eastAsia="仿宋"/>
          <w:sz w:val="28"/>
          <w:szCs w:val="28"/>
        </w:rPr>
        <w:t>了</w:t>
      </w:r>
      <w:r>
        <w:rPr>
          <w:rFonts w:ascii="仿宋" w:hAnsi="仿宋" w:eastAsia="仿宋"/>
          <w:sz w:val="28"/>
          <w:szCs w:val="28"/>
        </w:rPr>
        <w:t>助力社区防疫和校内核酸检测，高博众多党员教师</w:t>
      </w:r>
      <w:r>
        <w:rPr>
          <w:rFonts w:hint="eastAsia" w:ascii="仿宋" w:hAnsi="仿宋" w:eastAsia="仿宋"/>
          <w:sz w:val="28"/>
          <w:szCs w:val="28"/>
        </w:rPr>
        <w:t>踊跃参加“党员服务站”（见图</w:t>
      </w:r>
      <w:r>
        <w:rPr>
          <w:rFonts w:ascii="仿宋" w:hAnsi="仿宋" w:eastAsia="仿宋"/>
          <w:sz w:val="28"/>
          <w:szCs w:val="28"/>
        </w:rPr>
        <w:t>1.1</w:t>
      </w:r>
      <w:r>
        <w:rPr>
          <w:rFonts w:hint="eastAsia" w:ascii="仿宋" w:hAnsi="仿宋" w:eastAsia="仿宋"/>
          <w:sz w:val="28"/>
          <w:szCs w:val="28"/>
        </w:rPr>
        <w:t>），或</w:t>
      </w:r>
      <w:r>
        <w:rPr>
          <w:rFonts w:ascii="仿宋" w:hAnsi="仿宋" w:eastAsia="仿宋"/>
          <w:sz w:val="28"/>
          <w:szCs w:val="28"/>
        </w:rPr>
        <w:t>变身“大白”与“小蓝”，积极参加</w:t>
      </w:r>
      <w:r>
        <w:rPr>
          <w:rFonts w:hint="eastAsia" w:ascii="仿宋" w:hAnsi="仿宋" w:eastAsia="仿宋"/>
          <w:sz w:val="28"/>
          <w:szCs w:val="28"/>
        </w:rPr>
        <w:t>防疫</w:t>
      </w:r>
      <w:r>
        <w:rPr>
          <w:rFonts w:ascii="仿宋" w:hAnsi="仿宋" w:eastAsia="仿宋"/>
          <w:sz w:val="28"/>
          <w:szCs w:val="28"/>
        </w:rPr>
        <w:t>志愿活动。</w:t>
      </w:r>
      <w:r>
        <w:rPr>
          <w:rFonts w:hint="eastAsia" w:ascii="仿宋" w:hAnsi="仿宋" w:eastAsia="仿宋"/>
          <w:sz w:val="28"/>
          <w:szCs w:val="28"/>
        </w:rPr>
        <w:t>据不完全统计，今年学生返校的6月份，</w:t>
      </w:r>
      <w:r>
        <w:rPr>
          <w:rFonts w:ascii="仿宋" w:hAnsi="仿宋" w:eastAsia="仿宋"/>
          <w:sz w:val="28"/>
          <w:szCs w:val="28"/>
        </w:rPr>
        <w:t>教职工主动参与疫情防控志愿服务已累计82人次，累计服务时长达246小时。</w:t>
      </w:r>
      <w:r>
        <w:rPr>
          <w:rFonts w:hint="eastAsia" w:ascii="仿宋" w:hAnsi="仿宋" w:eastAsia="仿宋"/>
          <w:sz w:val="28"/>
          <w:szCs w:val="28"/>
        </w:rPr>
        <w:t>丰富多彩、主题鲜明的基层党建活动获取成效，2</w:t>
      </w:r>
      <w:r>
        <w:rPr>
          <w:rFonts w:ascii="仿宋" w:hAnsi="仿宋" w:eastAsia="仿宋"/>
          <w:sz w:val="28"/>
          <w:szCs w:val="28"/>
        </w:rPr>
        <w:t>022</w:t>
      </w:r>
      <w:r>
        <w:rPr>
          <w:rFonts w:hint="eastAsia" w:ascii="仿宋" w:hAnsi="仿宋" w:eastAsia="仿宋"/>
          <w:sz w:val="28"/>
          <w:szCs w:val="28"/>
        </w:rPr>
        <w:t>年5月</w:t>
      </w:r>
      <w:r>
        <w:rPr>
          <w:rFonts w:ascii="仿宋" w:hAnsi="仿宋" w:eastAsia="仿宋"/>
          <w:sz w:val="28"/>
          <w:szCs w:val="28"/>
        </w:rPr>
        <w:t>艺术与建筑学院教工党支部入选首批全省党建工作样板支部培育创建单位。</w:t>
      </w:r>
      <w:r>
        <w:rPr>
          <w:rFonts w:hint="eastAsia" w:ascii="仿宋" w:hAnsi="仿宋" w:eastAsia="仿宋"/>
          <w:sz w:val="28"/>
          <w:szCs w:val="28"/>
        </w:rPr>
        <w:t>医学与公共服务学院党支部的“红色文化培根育人，奉献青春立志成才”的护理专业人才红色主题教育活动获批江苏高校“最佳党日活动”优胜奖（见案例1）。孙宇珊老师被评为2021年苏州市优秀共青团干部。</w:t>
      </w:r>
    </w:p>
    <w:p>
      <w:pPr>
        <w:keepNext/>
        <w:ind w:firstLine="420" w:firstLineChars="200"/>
        <w:jc w:val="center"/>
      </w:pPr>
      <w:r>
        <w:drawing>
          <wp:inline distT="0" distB="0" distL="0" distR="0">
            <wp:extent cx="4711065" cy="293941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4723273" cy="2947452"/>
                    </a:xfrm>
                    <a:prstGeom prst="rect">
                      <a:avLst/>
                    </a:prstGeom>
                    <a:noFill/>
                    <a:ln>
                      <a:noFill/>
                    </a:ln>
                  </pic:spPr>
                </pic:pic>
              </a:graphicData>
            </a:graphic>
          </wp:inline>
        </w:drawing>
      </w:r>
    </w:p>
    <w:p>
      <w:pPr>
        <w:widowControl/>
        <w:spacing w:after="156" w:afterLines="50" w:line="360" w:lineRule="auto"/>
        <w:jc w:val="center"/>
        <w:rPr>
          <w:rFonts w:ascii="仿宋_GB2312" w:eastAsia="仿宋_GB2312"/>
          <w:b/>
          <w:sz w:val="24"/>
          <w:szCs w:val="24"/>
        </w:rPr>
      </w:pPr>
      <w:bookmarkStart w:id="15" w:name="_Toc124168536"/>
      <w:bookmarkStart w:id="16" w:name="_Toc124168957"/>
      <w:bookmarkStart w:id="17" w:name="_Toc124169679"/>
      <w:r>
        <w:rPr>
          <w:rFonts w:hint="eastAsia" w:ascii="仿宋_GB2312" w:eastAsia="仿宋_GB2312"/>
          <w:b/>
          <w:sz w:val="24"/>
          <w:szCs w:val="24"/>
        </w:rPr>
        <w:t xml:space="preserve">图1. </w:t>
      </w:r>
      <w:r>
        <w:rPr>
          <w:rFonts w:ascii="仿宋_GB2312" w:eastAsia="仿宋_GB2312"/>
          <w:b/>
          <w:sz w:val="24"/>
          <w:szCs w:val="24"/>
        </w:rPr>
        <w:fldChar w:fldCharType="begin"/>
      </w:r>
      <w:r>
        <w:rPr>
          <w:rFonts w:ascii="仿宋_GB2312" w:eastAsia="仿宋_GB2312"/>
          <w:b/>
          <w:sz w:val="24"/>
          <w:szCs w:val="24"/>
        </w:rPr>
        <w:instrText xml:space="preserve"> </w:instrText>
      </w:r>
      <w:r>
        <w:rPr>
          <w:rFonts w:hint="eastAsia" w:ascii="仿宋_GB2312" w:eastAsia="仿宋_GB2312"/>
          <w:b/>
          <w:sz w:val="24"/>
          <w:szCs w:val="24"/>
        </w:rPr>
        <w:instrText xml:space="preserve">SEQ 图1. \* ARABIC</w:instrText>
      </w:r>
      <w:r>
        <w:rPr>
          <w:rFonts w:ascii="仿宋_GB2312" w:eastAsia="仿宋_GB2312"/>
          <w:b/>
          <w:sz w:val="24"/>
          <w:szCs w:val="24"/>
        </w:rPr>
        <w:instrText xml:space="preserve"> </w:instrText>
      </w:r>
      <w:r>
        <w:rPr>
          <w:rFonts w:ascii="仿宋_GB2312" w:eastAsia="仿宋_GB2312"/>
          <w:b/>
          <w:sz w:val="24"/>
          <w:szCs w:val="24"/>
        </w:rPr>
        <w:fldChar w:fldCharType="separate"/>
      </w:r>
      <w:r>
        <w:rPr>
          <w:rFonts w:ascii="仿宋_GB2312" w:eastAsia="仿宋_GB2312"/>
          <w:b/>
          <w:sz w:val="24"/>
          <w:szCs w:val="24"/>
        </w:rPr>
        <w:t>1</w:t>
      </w:r>
      <w:r>
        <w:rPr>
          <w:rFonts w:ascii="仿宋_GB2312" w:eastAsia="仿宋_GB2312"/>
          <w:b/>
          <w:sz w:val="24"/>
          <w:szCs w:val="24"/>
        </w:rPr>
        <w:fldChar w:fldCharType="end"/>
      </w:r>
      <w:r>
        <w:rPr>
          <w:rFonts w:hint="eastAsia" w:ascii="仿宋_GB2312" w:eastAsia="仿宋_GB2312"/>
          <w:b/>
          <w:sz w:val="24"/>
          <w:szCs w:val="24"/>
        </w:rPr>
        <w:t>青年教师党员组成“党员服务站”</w:t>
      </w:r>
      <w:bookmarkEnd w:id="15"/>
      <w:bookmarkEnd w:id="16"/>
      <w:bookmarkEnd w:id="17"/>
      <w:bookmarkStart w:id="18" w:name="_Hlk121990172"/>
    </w:p>
    <w:bookmarkEnd w:id="18"/>
    <w:p>
      <w:pPr>
        <w:adjustRightInd w:val="0"/>
        <w:snapToGrid w:val="0"/>
        <w:spacing w:line="360" w:lineRule="auto"/>
        <w:ind w:firstLine="482" w:firstLineChars="200"/>
        <w:outlineLvl w:val="2"/>
        <w:rPr>
          <w:rFonts w:ascii="仿宋_GB2312" w:hAnsi="宋体" w:eastAsia="仿宋_GB2312"/>
          <w:b/>
          <w:color w:val="000000" w:themeColor="text1"/>
          <w:sz w:val="24"/>
          <w:szCs w:val="24"/>
        </w:rPr>
      </w:pPr>
      <w:bookmarkStart w:id="19" w:name="_Toc124087875"/>
      <w:bookmarkStart w:id="20" w:name="_Toc119932691"/>
      <w:r>
        <w:rPr>
          <w:rFonts w:hint="eastAsia" w:ascii="仿宋_GB2312" w:hAnsi="宋体" w:eastAsia="仿宋_GB2312"/>
          <w:b/>
          <w:color w:val="000000" w:themeColor="text1"/>
          <w:sz w:val="24"/>
          <w:szCs w:val="24"/>
        </w:rPr>
        <w:t>案例</w:t>
      </w:r>
      <w:r>
        <w:rPr>
          <w:rFonts w:ascii="仿宋_GB2312" w:hAnsi="宋体" w:eastAsia="仿宋_GB2312"/>
          <w:b/>
          <w:color w:val="000000" w:themeColor="text1"/>
          <w:sz w:val="24"/>
          <w:szCs w:val="24"/>
        </w:rPr>
        <w:t>1</w:t>
      </w:r>
      <w:r>
        <w:rPr>
          <w:rFonts w:hint="eastAsia" w:ascii="仿宋_GB2312" w:hAnsi="宋体" w:eastAsia="仿宋_GB2312"/>
          <w:b/>
          <w:color w:val="000000" w:themeColor="text1"/>
          <w:sz w:val="24"/>
          <w:szCs w:val="24"/>
        </w:rPr>
        <w:t>：【</w:t>
      </w:r>
      <w:bookmarkStart w:id="21" w:name="_Hlk120544451"/>
      <w:r>
        <w:rPr>
          <w:rFonts w:hint="eastAsia" w:ascii="仿宋_GB2312" w:hAnsi="宋体" w:eastAsia="仿宋_GB2312"/>
          <w:b/>
          <w:color w:val="000000" w:themeColor="text1"/>
          <w:sz w:val="24"/>
          <w:szCs w:val="24"/>
        </w:rPr>
        <w:t>护理专业人才的红色主题教育</w:t>
      </w:r>
      <w:bookmarkEnd w:id="21"/>
      <w:r>
        <w:rPr>
          <w:rFonts w:hint="eastAsia" w:ascii="仿宋_GB2312" w:hAnsi="宋体" w:eastAsia="仿宋_GB2312"/>
          <w:b/>
          <w:color w:val="000000" w:themeColor="text1"/>
          <w:sz w:val="24"/>
          <w:szCs w:val="24"/>
        </w:rPr>
        <w:t>】</w:t>
      </w:r>
      <w:bookmarkEnd w:id="19"/>
      <w:bookmarkEnd w:id="20"/>
    </w:p>
    <w:p>
      <w:pPr>
        <w:widowControl/>
        <w:spacing w:line="360" w:lineRule="auto"/>
        <w:ind w:firstLine="480" w:firstLineChars="200"/>
        <w:rPr>
          <w:rFonts w:ascii="楷体_GB2312" w:hAnsi="宋体" w:eastAsia="楷体_GB2312" w:cs="Times New Roman"/>
          <w:color w:val="000000" w:themeColor="text1"/>
          <w:kern w:val="0"/>
          <w:sz w:val="24"/>
          <w:szCs w:val="24"/>
        </w:rPr>
      </w:pPr>
      <w:r>
        <w:rPr>
          <w:rFonts w:ascii="楷体_GB2312" w:hAnsi="宋体" w:eastAsia="楷体_GB2312" w:cs="Times New Roman"/>
          <w:color w:val="000000" w:themeColor="text1"/>
          <w:kern w:val="0"/>
          <w:sz w:val="24"/>
          <w:szCs w:val="24"/>
        </w:rPr>
        <w:t>响应习近平总书记“把红色基因传承好”的号召，该校医学与公共服务学院结合护理专业特色，</w:t>
      </w:r>
      <w:r>
        <w:rPr>
          <w:rFonts w:hint="eastAsia" w:ascii="楷体_GB2312" w:hAnsi="宋体" w:eastAsia="楷体_GB2312" w:cs="Times New Roman"/>
          <w:color w:val="000000" w:themeColor="text1"/>
          <w:kern w:val="0"/>
          <w:sz w:val="24"/>
          <w:szCs w:val="24"/>
        </w:rPr>
        <w:t>在中国共产</w:t>
      </w:r>
      <w:r>
        <w:rPr>
          <w:rFonts w:ascii="楷体_GB2312" w:hAnsi="宋体" w:eastAsia="楷体_GB2312" w:cs="Times New Roman"/>
          <w:color w:val="000000" w:themeColor="text1"/>
          <w:kern w:val="0"/>
          <w:sz w:val="24"/>
          <w:szCs w:val="24"/>
        </w:rPr>
        <w:t>党百年华诞的2021年</w:t>
      </w:r>
      <w:r>
        <w:rPr>
          <w:rFonts w:hint="eastAsia" w:ascii="楷体_GB2312" w:hAnsi="宋体" w:eastAsia="楷体_GB2312" w:cs="Times New Roman"/>
          <w:color w:val="000000" w:themeColor="text1"/>
          <w:kern w:val="0"/>
          <w:sz w:val="24"/>
          <w:szCs w:val="24"/>
        </w:rPr>
        <w:t>，</w:t>
      </w:r>
      <w:r>
        <w:rPr>
          <w:rFonts w:ascii="楷体_GB2312" w:hAnsi="宋体" w:eastAsia="楷体_GB2312" w:cs="Times New Roman"/>
          <w:color w:val="000000" w:themeColor="text1"/>
          <w:kern w:val="0"/>
          <w:sz w:val="24"/>
          <w:szCs w:val="24"/>
        </w:rPr>
        <w:t>开展以“红色文化培根育人</w:t>
      </w:r>
      <w:r>
        <w:rPr>
          <w:rFonts w:hint="eastAsia" w:ascii="楷体_GB2312" w:hAnsi="宋体" w:eastAsia="楷体_GB2312" w:cs="Times New Roman"/>
          <w:color w:val="000000" w:themeColor="text1"/>
          <w:kern w:val="0"/>
          <w:sz w:val="24"/>
          <w:szCs w:val="24"/>
        </w:rPr>
        <w:t>，</w:t>
      </w:r>
      <w:r>
        <w:rPr>
          <w:rFonts w:ascii="楷体_GB2312" w:hAnsi="宋体" w:eastAsia="楷体_GB2312" w:cs="Times New Roman"/>
          <w:color w:val="000000" w:themeColor="text1"/>
          <w:kern w:val="0"/>
          <w:sz w:val="24"/>
          <w:szCs w:val="24"/>
        </w:rPr>
        <w:t>奉献青春立志成才”的“1+2+3” 主题教育活动，即：开展 1 次授帽仪式暨护士礼仪展示，</w:t>
      </w:r>
      <w:r>
        <w:rPr>
          <w:rFonts w:hint="eastAsia" w:ascii="楷体_GB2312" w:hAnsi="宋体" w:eastAsia="楷体_GB2312" w:cs="Times New Roman"/>
          <w:color w:val="000000" w:themeColor="text1"/>
          <w:kern w:val="0"/>
          <w:sz w:val="24"/>
          <w:szCs w:val="24"/>
        </w:rPr>
        <w:t>使</w:t>
      </w:r>
      <w:r>
        <w:rPr>
          <w:rFonts w:ascii="楷体_GB2312" w:hAnsi="宋体" w:eastAsia="楷体_GB2312" w:cs="Times New Roman"/>
          <w:color w:val="000000" w:themeColor="text1"/>
          <w:kern w:val="0"/>
          <w:sz w:val="24"/>
          <w:szCs w:val="24"/>
        </w:rPr>
        <w:t>护士专业学生们牢记南丁格尔誓言，以实际行动展示新一代护士的责任与担当，为健康中国贡献青春力量</w:t>
      </w:r>
      <w:r>
        <w:rPr>
          <w:rFonts w:hint="eastAsia" w:ascii="楷体_GB2312" w:hAnsi="宋体" w:eastAsia="楷体_GB2312" w:cs="Times New Roman"/>
          <w:color w:val="000000" w:themeColor="text1"/>
          <w:kern w:val="0"/>
          <w:sz w:val="24"/>
          <w:szCs w:val="24"/>
        </w:rPr>
        <w:t>（见图</w:t>
      </w:r>
      <w:r>
        <w:rPr>
          <w:rFonts w:ascii="楷体_GB2312" w:hAnsi="宋体" w:eastAsia="楷体_GB2312" w:cs="Times New Roman"/>
          <w:color w:val="000000" w:themeColor="text1"/>
          <w:kern w:val="0"/>
          <w:sz w:val="24"/>
          <w:szCs w:val="24"/>
        </w:rPr>
        <w:t>1.2</w:t>
      </w:r>
      <w:r>
        <w:rPr>
          <w:rFonts w:hint="eastAsia" w:ascii="楷体_GB2312" w:hAnsi="宋体" w:eastAsia="楷体_GB2312" w:cs="Times New Roman"/>
          <w:color w:val="000000" w:themeColor="text1"/>
          <w:kern w:val="0"/>
          <w:sz w:val="24"/>
          <w:szCs w:val="24"/>
        </w:rPr>
        <w:t>）</w:t>
      </w:r>
      <w:r>
        <w:rPr>
          <w:rFonts w:ascii="楷体_GB2312" w:hAnsi="宋体" w:eastAsia="楷体_GB2312" w:cs="Times New Roman"/>
          <w:color w:val="000000" w:themeColor="text1"/>
          <w:kern w:val="0"/>
          <w:sz w:val="24"/>
          <w:szCs w:val="24"/>
        </w:rPr>
        <w:t>；通过沉浸式主题教育，参观 2个红色文化资源场馆，走进沙家浜革命历史纪念馆、苏州革命博物馆，传承红色基因，坚持培根铸魂；通过开展 3 次志愿服务活动</w:t>
      </w:r>
      <w:r>
        <w:rPr>
          <w:rFonts w:hint="eastAsia" w:ascii="楷体_GB2312" w:hAnsi="宋体" w:eastAsia="楷体_GB2312" w:cs="Times New Roman"/>
          <w:color w:val="000000" w:themeColor="text1"/>
          <w:kern w:val="0"/>
          <w:sz w:val="24"/>
          <w:szCs w:val="24"/>
        </w:rPr>
        <w:t>（见图</w:t>
      </w:r>
      <w:r>
        <w:rPr>
          <w:rFonts w:ascii="楷体_GB2312" w:hAnsi="宋体" w:eastAsia="楷体_GB2312" w:cs="Times New Roman"/>
          <w:color w:val="000000" w:themeColor="text1"/>
          <w:kern w:val="0"/>
          <w:sz w:val="24"/>
          <w:szCs w:val="24"/>
        </w:rPr>
        <w:t>1.3</w:t>
      </w:r>
      <w:r>
        <w:rPr>
          <w:rFonts w:hint="eastAsia" w:ascii="楷体_GB2312" w:hAnsi="宋体" w:eastAsia="楷体_GB2312" w:cs="Times New Roman"/>
          <w:color w:val="000000" w:themeColor="text1"/>
          <w:kern w:val="0"/>
          <w:sz w:val="24"/>
          <w:szCs w:val="24"/>
        </w:rPr>
        <w:t>）</w:t>
      </w:r>
      <w:r>
        <w:rPr>
          <w:rFonts w:ascii="楷体_GB2312" w:hAnsi="宋体" w:eastAsia="楷体_GB2312" w:cs="Times New Roman"/>
          <w:color w:val="000000" w:themeColor="text1"/>
          <w:kern w:val="0"/>
          <w:sz w:val="24"/>
          <w:szCs w:val="24"/>
        </w:rPr>
        <w:t>，走进瑞颐·椿熹里养生</w:t>
      </w:r>
      <w:r>
        <w:rPr>
          <w:rFonts w:hint="eastAsia" w:ascii="楷体_GB2312" w:hAnsi="宋体" w:eastAsia="楷体_GB2312" w:cs="Times New Roman"/>
          <w:color w:val="000000" w:themeColor="text1"/>
          <w:kern w:val="0"/>
          <w:sz w:val="24"/>
          <w:szCs w:val="24"/>
        </w:rPr>
        <w:t>社区，宣传健康知识并进行义诊，以实际行动奉献青春（见图</w:t>
      </w:r>
      <w:r>
        <w:rPr>
          <w:rFonts w:ascii="楷体_GB2312" w:hAnsi="宋体" w:eastAsia="楷体_GB2312" w:cs="Times New Roman"/>
          <w:color w:val="000000" w:themeColor="text1"/>
          <w:kern w:val="0"/>
          <w:sz w:val="24"/>
          <w:szCs w:val="24"/>
        </w:rPr>
        <w:t>1.4</w:t>
      </w:r>
      <w:r>
        <w:rPr>
          <w:rFonts w:hint="eastAsia" w:ascii="楷体_GB2312" w:hAnsi="宋体" w:eastAsia="楷体_GB2312" w:cs="Times New Roman"/>
          <w:color w:val="000000" w:themeColor="text1"/>
          <w:kern w:val="0"/>
          <w:sz w:val="24"/>
          <w:szCs w:val="24"/>
        </w:rPr>
        <w:t>）。通过此项活动，将红色主题教育引入青年学生阵地，入脑入心，教育引导广大青少年知史爱党、知史爱国，赓续红色基因、培根铸魂，启智润心、为党育人，奉献青春、立志成才，努力成为堪当民族复兴大任的时代新人。</w:t>
      </w:r>
    </w:p>
    <w:p>
      <w:pPr>
        <w:keepNext/>
        <w:ind w:firstLine="420" w:firstLineChars="200"/>
        <w:jc w:val="center"/>
      </w:pPr>
      <w:r>
        <w:drawing>
          <wp:inline distT="0" distB="0" distL="0" distR="0">
            <wp:extent cx="3109595" cy="2072640"/>
            <wp:effectExtent l="0" t="0" r="0" b="381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120890" cy="2080468"/>
                    </a:xfrm>
                    <a:prstGeom prst="rect">
                      <a:avLst/>
                    </a:prstGeom>
                    <a:noFill/>
                    <a:ln>
                      <a:noFill/>
                    </a:ln>
                  </pic:spPr>
                </pic:pic>
              </a:graphicData>
            </a:graphic>
          </wp:inline>
        </w:drawing>
      </w:r>
      <w:bookmarkStart w:id="22" w:name="_Hlk121990192"/>
    </w:p>
    <w:p>
      <w:pPr>
        <w:widowControl/>
        <w:spacing w:after="156" w:afterLines="50" w:line="360" w:lineRule="auto"/>
        <w:jc w:val="center"/>
        <w:rPr>
          <w:rFonts w:ascii="仿宋_GB2312" w:eastAsia="仿宋_GB2312"/>
          <w:b/>
          <w:sz w:val="24"/>
          <w:szCs w:val="24"/>
        </w:rPr>
      </w:pPr>
      <w:bookmarkStart w:id="23" w:name="_Toc124168958"/>
      <w:bookmarkStart w:id="24" w:name="_Toc124168537"/>
      <w:bookmarkStart w:id="25" w:name="_Toc124169680"/>
      <w:r>
        <w:rPr>
          <w:rFonts w:hint="eastAsia" w:ascii="仿宋_GB2312" w:eastAsia="仿宋_GB2312"/>
          <w:b/>
          <w:sz w:val="24"/>
          <w:szCs w:val="24"/>
        </w:rPr>
        <w:t>图</w:t>
      </w:r>
      <w:bookmarkStart w:id="26" w:name="_Hlk124256418"/>
      <w:r>
        <w:rPr>
          <w:rFonts w:hint="eastAsia" w:ascii="仿宋_GB2312" w:eastAsia="仿宋_GB2312"/>
          <w:b/>
          <w:sz w:val="24"/>
          <w:szCs w:val="24"/>
        </w:rPr>
        <w:t xml:space="preserve">1. </w:t>
      </w:r>
      <w:r>
        <w:rPr>
          <w:rFonts w:ascii="仿宋_GB2312" w:eastAsia="仿宋_GB2312"/>
          <w:b/>
          <w:sz w:val="24"/>
          <w:szCs w:val="24"/>
        </w:rPr>
        <w:fldChar w:fldCharType="begin"/>
      </w:r>
      <w:r>
        <w:rPr>
          <w:rFonts w:ascii="仿宋_GB2312" w:eastAsia="仿宋_GB2312"/>
          <w:b/>
          <w:sz w:val="24"/>
          <w:szCs w:val="24"/>
        </w:rPr>
        <w:instrText xml:space="preserve"> </w:instrText>
      </w:r>
      <w:r>
        <w:rPr>
          <w:rFonts w:hint="eastAsia" w:ascii="仿宋_GB2312" w:eastAsia="仿宋_GB2312"/>
          <w:b/>
          <w:sz w:val="24"/>
          <w:szCs w:val="24"/>
        </w:rPr>
        <w:instrText xml:space="preserve">SEQ 图1. \* ARABIC</w:instrText>
      </w:r>
      <w:r>
        <w:rPr>
          <w:rFonts w:ascii="仿宋_GB2312" w:eastAsia="仿宋_GB2312"/>
          <w:b/>
          <w:sz w:val="24"/>
          <w:szCs w:val="24"/>
        </w:rPr>
        <w:instrText xml:space="preserve"> </w:instrText>
      </w:r>
      <w:r>
        <w:rPr>
          <w:rFonts w:ascii="仿宋_GB2312" w:eastAsia="仿宋_GB2312"/>
          <w:b/>
          <w:sz w:val="24"/>
          <w:szCs w:val="24"/>
        </w:rPr>
        <w:fldChar w:fldCharType="separate"/>
      </w:r>
      <w:r>
        <w:rPr>
          <w:rFonts w:ascii="仿宋_GB2312" w:eastAsia="仿宋_GB2312"/>
          <w:b/>
          <w:sz w:val="24"/>
          <w:szCs w:val="24"/>
        </w:rPr>
        <w:t>2</w:t>
      </w:r>
      <w:r>
        <w:rPr>
          <w:rFonts w:ascii="仿宋_GB2312" w:eastAsia="仿宋_GB2312"/>
          <w:b/>
          <w:sz w:val="24"/>
          <w:szCs w:val="24"/>
        </w:rPr>
        <w:fldChar w:fldCharType="end"/>
      </w:r>
      <w:bookmarkEnd w:id="26"/>
      <w:r>
        <w:rPr>
          <w:rFonts w:hint="eastAsia" w:ascii="仿宋_GB2312" w:eastAsia="仿宋_GB2312"/>
          <w:b/>
          <w:sz w:val="24"/>
          <w:szCs w:val="24"/>
        </w:rPr>
        <w:t>护理专业学生授帽仪式</w:t>
      </w:r>
      <w:bookmarkEnd w:id="23"/>
      <w:bookmarkEnd w:id="24"/>
      <w:bookmarkEnd w:id="25"/>
    </w:p>
    <w:bookmarkEnd w:id="22"/>
    <w:p>
      <w:pPr>
        <w:keepNext/>
        <w:ind w:firstLine="480" w:firstLineChars="200"/>
        <w:jc w:val="center"/>
      </w:pPr>
      <w:r>
        <w:rPr>
          <w:rFonts w:ascii="楷体_GB2312" w:hAnsi="宋体" w:eastAsia="楷体_GB2312" w:cs="Times New Roman"/>
          <w:color w:val="000000" w:themeColor="text1"/>
          <w:kern w:val="0"/>
          <w:sz w:val="24"/>
          <w:szCs w:val="24"/>
        </w:rPr>
        <w:drawing>
          <wp:inline distT="0" distB="0" distL="0" distR="0">
            <wp:extent cx="2673985" cy="200596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692005" cy="2019733"/>
                    </a:xfrm>
                    <a:prstGeom prst="rect">
                      <a:avLst/>
                    </a:prstGeom>
                    <a:noFill/>
                  </pic:spPr>
                </pic:pic>
              </a:graphicData>
            </a:graphic>
          </wp:inline>
        </w:drawing>
      </w:r>
    </w:p>
    <w:p>
      <w:pPr>
        <w:widowControl/>
        <w:spacing w:after="156" w:afterLines="50" w:line="360" w:lineRule="auto"/>
        <w:jc w:val="center"/>
        <w:rPr>
          <w:rFonts w:ascii="仿宋_GB2312" w:eastAsia="仿宋_GB2312"/>
          <w:b/>
          <w:sz w:val="24"/>
          <w:szCs w:val="24"/>
        </w:rPr>
      </w:pPr>
      <w:bookmarkStart w:id="27" w:name="_Toc124168538"/>
      <w:bookmarkStart w:id="28" w:name="_Toc124168959"/>
      <w:bookmarkStart w:id="29" w:name="_Toc124169681"/>
      <w:r>
        <w:rPr>
          <w:rFonts w:hint="eastAsia" w:ascii="仿宋_GB2312" w:eastAsia="仿宋_GB2312"/>
          <w:b/>
          <w:sz w:val="24"/>
          <w:szCs w:val="24"/>
        </w:rPr>
        <w:t xml:space="preserve">图1. </w:t>
      </w:r>
      <w:r>
        <w:rPr>
          <w:rFonts w:ascii="仿宋_GB2312" w:eastAsia="仿宋_GB2312"/>
          <w:b/>
          <w:sz w:val="24"/>
          <w:szCs w:val="24"/>
        </w:rPr>
        <w:fldChar w:fldCharType="begin"/>
      </w:r>
      <w:r>
        <w:rPr>
          <w:rFonts w:ascii="仿宋_GB2312" w:eastAsia="仿宋_GB2312"/>
          <w:b/>
          <w:sz w:val="24"/>
          <w:szCs w:val="24"/>
        </w:rPr>
        <w:instrText xml:space="preserve"> </w:instrText>
      </w:r>
      <w:r>
        <w:rPr>
          <w:rFonts w:hint="eastAsia" w:ascii="仿宋_GB2312" w:eastAsia="仿宋_GB2312"/>
          <w:b/>
          <w:sz w:val="24"/>
          <w:szCs w:val="24"/>
        </w:rPr>
        <w:instrText xml:space="preserve">SEQ 图1. \* ARABIC</w:instrText>
      </w:r>
      <w:r>
        <w:rPr>
          <w:rFonts w:ascii="仿宋_GB2312" w:eastAsia="仿宋_GB2312"/>
          <w:b/>
          <w:sz w:val="24"/>
          <w:szCs w:val="24"/>
        </w:rPr>
        <w:instrText xml:space="preserve"> </w:instrText>
      </w:r>
      <w:r>
        <w:rPr>
          <w:rFonts w:ascii="仿宋_GB2312" w:eastAsia="仿宋_GB2312"/>
          <w:b/>
          <w:sz w:val="24"/>
          <w:szCs w:val="24"/>
        </w:rPr>
        <w:fldChar w:fldCharType="separate"/>
      </w:r>
      <w:r>
        <w:rPr>
          <w:rFonts w:ascii="仿宋_GB2312" w:eastAsia="仿宋_GB2312"/>
          <w:b/>
          <w:sz w:val="24"/>
          <w:szCs w:val="24"/>
        </w:rPr>
        <w:t>3</w:t>
      </w:r>
      <w:r>
        <w:rPr>
          <w:rFonts w:ascii="仿宋_GB2312" w:eastAsia="仿宋_GB2312"/>
          <w:b/>
          <w:sz w:val="24"/>
          <w:szCs w:val="24"/>
        </w:rPr>
        <w:fldChar w:fldCharType="end"/>
      </w:r>
      <w:r>
        <w:rPr>
          <w:rFonts w:hint="eastAsia" w:ascii="仿宋_GB2312" w:eastAsia="仿宋_GB2312"/>
          <w:b/>
          <w:sz w:val="24"/>
          <w:szCs w:val="24"/>
        </w:rPr>
        <w:t>师生党员重温入党誓词</w:t>
      </w:r>
      <w:bookmarkEnd w:id="27"/>
      <w:bookmarkEnd w:id="28"/>
      <w:bookmarkEnd w:id="29"/>
    </w:p>
    <w:p>
      <w:pPr>
        <w:keepNext/>
        <w:ind w:firstLine="420" w:firstLineChars="200"/>
        <w:jc w:val="center"/>
      </w:pPr>
      <w:r>
        <w:drawing>
          <wp:inline distT="0" distB="0" distL="0" distR="0">
            <wp:extent cx="2847975" cy="1898650"/>
            <wp:effectExtent l="0" t="0" r="9525" b="63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858069" cy="1905265"/>
                    </a:xfrm>
                    <a:prstGeom prst="rect">
                      <a:avLst/>
                    </a:prstGeom>
                    <a:noFill/>
                    <a:ln>
                      <a:noFill/>
                    </a:ln>
                  </pic:spPr>
                </pic:pic>
              </a:graphicData>
            </a:graphic>
          </wp:inline>
        </w:drawing>
      </w:r>
    </w:p>
    <w:p>
      <w:pPr>
        <w:pStyle w:val="5"/>
        <w:jc w:val="center"/>
        <w:rPr>
          <w:rFonts w:ascii="仿宋_GB2312" w:eastAsia="仿宋_GB2312"/>
          <w:b/>
          <w:sz w:val="24"/>
          <w:szCs w:val="24"/>
        </w:rPr>
      </w:pPr>
      <w:bookmarkStart w:id="30" w:name="_Toc124168539"/>
      <w:bookmarkStart w:id="31" w:name="_Toc124169682"/>
      <w:bookmarkStart w:id="32" w:name="_Toc124168960"/>
      <w:r>
        <w:rPr>
          <w:rFonts w:hint="eastAsia" w:ascii="仿宋_GB2312" w:eastAsia="仿宋_GB2312"/>
          <w:b/>
          <w:sz w:val="24"/>
          <w:szCs w:val="24"/>
        </w:rPr>
        <w:t xml:space="preserve">图1. </w:t>
      </w:r>
      <w:r>
        <w:rPr>
          <w:rFonts w:ascii="仿宋_GB2312" w:eastAsia="仿宋_GB2312"/>
          <w:b/>
          <w:sz w:val="24"/>
          <w:szCs w:val="24"/>
        </w:rPr>
        <w:fldChar w:fldCharType="begin"/>
      </w:r>
      <w:r>
        <w:rPr>
          <w:rFonts w:ascii="仿宋_GB2312" w:eastAsia="仿宋_GB2312"/>
          <w:b/>
          <w:sz w:val="24"/>
          <w:szCs w:val="24"/>
        </w:rPr>
        <w:instrText xml:space="preserve"> </w:instrText>
      </w:r>
      <w:r>
        <w:rPr>
          <w:rFonts w:hint="eastAsia" w:ascii="仿宋_GB2312" w:eastAsia="仿宋_GB2312"/>
          <w:b/>
          <w:sz w:val="24"/>
          <w:szCs w:val="24"/>
        </w:rPr>
        <w:instrText xml:space="preserve">SEQ 图1. \* ARABIC</w:instrText>
      </w:r>
      <w:r>
        <w:rPr>
          <w:rFonts w:ascii="仿宋_GB2312" w:eastAsia="仿宋_GB2312"/>
          <w:b/>
          <w:sz w:val="24"/>
          <w:szCs w:val="24"/>
        </w:rPr>
        <w:instrText xml:space="preserve"> </w:instrText>
      </w:r>
      <w:r>
        <w:rPr>
          <w:rFonts w:ascii="仿宋_GB2312" w:eastAsia="仿宋_GB2312"/>
          <w:b/>
          <w:sz w:val="24"/>
          <w:szCs w:val="24"/>
        </w:rPr>
        <w:fldChar w:fldCharType="separate"/>
      </w:r>
      <w:r>
        <w:rPr>
          <w:rFonts w:ascii="仿宋_GB2312" w:eastAsia="仿宋_GB2312"/>
          <w:b/>
          <w:sz w:val="24"/>
          <w:szCs w:val="24"/>
        </w:rPr>
        <w:t>4</w:t>
      </w:r>
      <w:r>
        <w:rPr>
          <w:rFonts w:ascii="仿宋_GB2312" w:eastAsia="仿宋_GB2312"/>
          <w:b/>
          <w:sz w:val="24"/>
          <w:szCs w:val="24"/>
        </w:rPr>
        <w:fldChar w:fldCharType="end"/>
      </w:r>
      <w:r>
        <w:rPr>
          <w:rFonts w:hint="eastAsia" w:ascii="仿宋_GB2312" w:eastAsia="仿宋_GB2312"/>
          <w:b/>
          <w:sz w:val="24"/>
          <w:szCs w:val="24"/>
        </w:rPr>
        <w:t>护理专业学生志愿服务现场</w:t>
      </w:r>
      <w:bookmarkEnd w:id="30"/>
      <w:bookmarkEnd w:id="31"/>
      <w:bookmarkEnd w:id="32"/>
      <w:r>
        <w:rPr>
          <w:rFonts w:hint="eastAsia" w:ascii="仿宋_GB2312" w:eastAsia="仿宋_GB2312"/>
          <w:b/>
          <w:sz w:val="24"/>
          <w:szCs w:val="24"/>
        </w:rPr>
        <w:t xml:space="preserve"> </w:t>
      </w:r>
    </w:p>
    <w:p>
      <w:pPr>
        <w:pStyle w:val="3"/>
        <w:spacing w:before="0" w:after="0" w:line="360" w:lineRule="auto"/>
        <w:ind w:firstLine="562" w:firstLineChars="200"/>
        <w:rPr>
          <w:rFonts w:ascii="仿宋_GB2312" w:eastAsia="仿宋_GB2312" w:hAnsiTheme="minorEastAsia"/>
          <w:sz w:val="28"/>
          <w:szCs w:val="28"/>
        </w:rPr>
      </w:pPr>
      <w:bookmarkStart w:id="33" w:name="_Toc124087876"/>
      <w:bookmarkStart w:id="34" w:name="_Toc119932687"/>
      <w:r>
        <w:rPr>
          <w:rFonts w:hint="eastAsia" w:ascii="仿宋_GB2312" w:eastAsia="仿宋_GB2312" w:hAnsiTheme="minorEastAsia"/>
          <w:sz w:val="28"/>
          <w:szCs w:val="28"/>
        </w:rPr>
        <w:t>1</w:t>
      </w:r>
      <w:r>
        <w:rPr>
          <w:rFonts w:ascii="仿宋_GB2312" w:eastAsia="仿宋_GB2312" w:hAnsiTheme="minorEastAsia"/>
          <w:sz w:val="28"/>
          <w:szCs w:val="28"/>
        </w:rPr>
        <w:t>.2</w:t>
      </w:r>
      <w:r>
        <w:rPr>
          <w:rFonts w:hint="eastAsia" w:ascii="仿宋_GB2312" w:eastAsia="仿宋_GB2312" w:hAnsiTheme="minorEastAsia"/>
          <w:sz w:val="28"/>
          <w:szCs w:val="28"/>
        </w:rPr>
        <w:t>立德树人</w:t>
      </w:r>
      <w:bookmarkEnd w:id="33"/>
      <w:bookmarkEnd w:id="34"/>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该校始终以立德树人为根本，重视高校思想政治工作。引导教职员工深刻理解“两个确立”，牢固树立“四个意识”，坚定“四个自信”，做到“两个维护”，持之以恒地培育和弘扬社会主义核心价值观，理直气壮地传播马克思主义，努力实现 “三全育人”。校党委书记带头讲党课和“开学思政第一课”（见图</w:t>
      </w:r>
      <w:r>
        <w:rPr>
          <w:rFonts w:ascii="仿宋" w:hAnsi="仿宋" w:eastAsia="仿宋"/>
          <w:sz w:val="28"/>
          <w:szCs w:val="28"/>
        </w:rPr>
        <w:t>1.</w:t>
      </w:r>
      <w:r>
        <w:rPr>
          <w:rFonts w:hint="eastAsia" w:ascii="仿宋" w:hAnsi="仿宋" w:eastAsia="仿宋"/>
          <w:sz w:val="28"/>
          <w:szCs w:val="28"/>
        </w:rPr>
        <w:t>5）。以理想信念教育为核心，以日常文明习惯养成为重点，引导学生明大德、守公德、严私德，加强法治教育，教育学生知行合一。把课堂思想政治理论教学和日常思想政治教育结合起来，把思政课程和课程思政衔接起来，把正面教育和严格管理结合起来，增强全员、全程、全方位育人意识和育人能力。每月设定主题，进行系统深入的思想教育。思政教师与辅导员、学生导师密切配合，形成合力，广泛开展志愿服务、演讲辩论、征文比赛、文明创建等活动，学生参与面广，成效明显。定期举行辅导员技能大赛和思想政治教育研讨会。利用“青马学院”平台系统培养入党积极分子和发展对象，完善党员选拔、培养、考核机制。</w:t>
      </w:r>
    </w:p>
    <w:p>
      <w:pPr>
        <w:keepNext/>
        <w:adjustRightInd w:val="0"/>
        <w:snapToGrid w:val="0"/>
        <w:spacing w:line="360" w:lineRule="auto"/>
        <w:ind w:firstLine="560" w:firstLineChars="200"/>
        <w:jc w:val="center"/>
      </w:pPr>
      <w:r>
        <w:rPr>
          <w:rFonts w:ascii="仿宋_GB2312" w:eastAsia="仿宋_GB2312" w:hAnsiTheme="minorEastAsia"/>
          <w:sz w:val="28"/>
          <w:szCs w:val="28"/>
        </w:rPr>
        <w:drawing>
          <wp:inline distT="0" distB="0" distL="0" distR="0">
            <wp:extent cx="4438015" cy="295656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4438015" cy="2956560"/>
                    </a:xfrm>
                    <a:prstGeom prst="rect">
                      <a:avLst/>
                    </a:prstGeom>
                    <a:noFill/>
                  </pic:spPr>
                </pic:pic>
              </a:graphicData>
            </a:graphic>
          </wp:inline>
        </w:drawing>
      </w:r>
    </w:p>
    <w:p>
      <w:pPr>
        <w:widowControl/>
        <w:spacing w:after="156" w:afterLines="50" w:line="360" w:lineRule="auto"/>
        <w:jc w:val="center"/>
        <w:rPr>
          <w:rFonts w:ascii="仿宋_GB2312" w:eastAsia="仿宋_GB2312"/>
          <w:b/>
          <w:sz w:val="24"/>
          <w:szCs w:val="24"/>
        </w:rPr>
      </w:pPr>
      <w:bookmarkStart w:id="35" w:name="_Toc124168540"/>
      <w:bookmarkStart w:id="36" w:name="_Toc124169683"/>
      <w:bookmarkStart w:id="37" w:name="_Toc124168961"/>
      <w:r>
        <w:rPr>
          <w:rFonts w:hint="eastAsia" w:ascii="仿宋_GB2312" w:eastAsia="仿宋_GB2312"/>
          <w:b/>
          <w:sz w:val="24"/>
          <w:szCs w:val="24"/>
        </w:rPr>
        <w:t xml:space="preserve">图1. </w:t>
      </w:r>
      <w:r>
        <w:rPr>
          <w:rFonts w:ascii="仿宋_GB2312" w:eastAsia="仿宋_GB2312"/>
          <w:b/>
          <w:sz w:val="24"/>
          <w:szCs w:val="24"/>
        </w:rPr>
        <w:fldChar w:fldCharType="begin"/>
      </w:r>
      <w:r>
        <w:rPr>
          <w:rFonts w:ascii="仿宋_GB2312" w:eastAsia="仿宋_GB2312"/>
          <w:b/>
          <w:sz w:val="24"/>
          <w:szCs w:val="24"/>
        </w:rPr>
        <w:instrText xml:space="preserve"> </w:instrText>
      </w:r>
      <w:r>
        <w:rPr>
          <w:rFonts w:hint="eastAsia" w:ascii="仿宋_GB2312" w:eastAsia="仿宋_GB2312"/>
          <w:b/>
          <w:sz w:val="24"/>
          <w:szCs w:val="24"/>
        </w:rPr>
        <w:instrText xml:space="preserve">SEQ 图1. \* ARABIC</w:instrText>
      </w:r>
      <w:r>
        <w:rPr>
          <w:rFonts w:ascii="仿宋_GB2312" w:eastAsia="仿宋_GB2312"/>
          <w:b/>
          <w:sz w:val="24"/>
          <w:szCs w:val="24"/>
        </w:rPr>
        <w:instrText xml:space="preserve"> </w:instrText>
      </w:r>
      <w:r>
        <w:rPr>
          <w:rFonts w:ascii="仿宋_GB2312" w:eastAsia="仿宋_GB2312"/>
          <w:b/>
          <w:sz w:val="24"/>
          <w:szCs w:val="24"/>
        </w:rPr>
        <w:fldChar w:fldCharType="separate"/>
      </w:r>
      <w:r>
        <w:rPr>
          <w:rFonts w:ascii="仿宋_GB2312" w:eastAsia="仿宋_GB2312"/>
          <w:b/>
          <w:sz w:val="24"/>
          <w:szCs w:val="24"/>
        </w:rPr>
        <w:t>5</w:t>
      </w:r>
      <w:r>
        <w:rPr>
          <w:rFonts w:ascii="仿宋_GB2312" w:eastAsia="仿宋_GB2312"/>
          <w:b/>
          <w:sz w:val="24"/>
          <w:szCs w:val="24"/>
        </w:rPr>
        <w:fldChar w:fldCharType="end"/>
      </w:r>
      <w:bookmarkStart w:id="38" w:name="_Hlk121990243"/>
      <w:r>
        <w:rPr>
          <w:rFonts w:hint="eastAsia" w:ascii="仿宋_GB2312" w:eastAsia="仿宋_GB2312"/>
          <w:b/>
          <w:sz w:val="24"/>
          <w:szCs w:val="24"/>
        </w:rPr>
        <w:t>校党委书记讲授党课</w:t>
      </w:r>
      <w:bookmarkEnd w:id="35"/>
      <w:bookmarkEnd w:id="36"/>
      <w:bookmarkEnd w:id="37"/>
    </w:p>
    <w:bookmarkEnd w:id="38"/>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高度重视思想政治理论课教学，发挥好思政课立德树人关键课堂的作用，以“建设思政课示范课堂”和“建设思政课名师工作室”为抓手，打造思政教学、科研、社会服务“教师专业发展共同体”，坚持集体备课制度，通过深化教学改革，不断提高教学质量。《概论》课采用专题化教学，通过案例、故事、数据，把理论还原到历史、还原为生活。《思想道德与法治》课采用分组教学、任务驱动的模式教学，编写《实践教学项目化教程》，学生教学主体地位回归。提高了教学的吸引力、感染力、针对性、实效性，教学改革成效不断凸显，教学比赛屡次获奖。打造学习型、研究型教研室，成立理论宣讲团，以系统学习、研究、阐释、宣传党的二十大精神和“习近平新时代中国特色社会主义思想”为目标，按专题分工研究，集体备课，资源共享，发挥团队智慧，多次在校内外做理论宣讲。与苏州大学马克思主义学院合作共建（见图</w:t>
      </w:r>
      <w:r>
        <w:rPr>
          <w:rFonts w:ascii="仿宋" w:hAnsi="仿宋" w:eastAsia="仿宋"/>
          <w:sz w:val="28"/>
          <w:szCs w:val="28"/>
        </w:rPr>
        <w:t>1.</w:t>
      </w:r>
      <w:r>
        <w:rPr>
          <w:rFonts w:hint="eastAsia" w:ascii="仿宋" w:hAnsi="仿宋" w:eastAsia="仿宋"/>
          <w:sz w:val="28"/>
          <w:szCs w:val="28"/>
        </w:rPr>
        <w:t>6）、开展“教学导师一对一”行动。与苏州高新区东渚街道、苏州医疗器械产业发展有限公司共建，形成“社区－园区－校区”三区党建联盟，助力街道社区、产业园企业等基层单位丰富党建工作内容、提升党建工作水平，同时也助力学校拓展育人资源，拓展思政课实践教学基地。</w:t>
      </w:r>
    </w:p>
    <w:p>
      <w:pPr>
        <w:keepNext/>
        <w:adjustRightInd w:val="0"/>
        <w:snapToGrid w:val="0"/>
        <w:spacing w:line="360" w:lineRule="auto"/>
        <w:ind w:firstLine="420" w:firstLineChars="200"/>
        <w:jc w:val="center"/>
      </w:pPr>
      <w:r>
        <w:drawing>
          <wp:inline distT="0" distB="0" distL="0" distR="0">
            <wp:extent cx="4566285" cy="304292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4586006" cy="3056385"/>
                    </a:xfrm>
                    <a:prstGeom prst="rect">
                      <a:avLst/>
                    </a:prstGeom>
                    <a:noFill/>
                    <a:ln>
                      <a:noFill/>
                    </a:ln>
                  </pic:spPr>
                </pic:pic>
              </a:graphicData>
            </a:graphic>
          </wp:inline>
        </w:drawing>
      </w:r>
    </w:p>
    <w:p>
      <w:pPr>
        <w:widowControl/>
        <w:spacing w:after="156" w:afterLines="50" w:line="360" w:lineRule="auto"/>
        <w:jc w:val="center"/>
        <w:rPr>
          <w:rFonts w:ascii="仿宋_GB2312" w:eastAsia="仿宋_GB2312"/>
          <w:b/>
          <w:sz w:val="24"/>
          <w:szCs w:val="24"/>
        </w:rPr>
      </w:pPr>
      <w:bookmarkStart w:id="39" w:name="_Toc124169684"/>
      <w:bookmarkStart w:id="40" w:name="_Toc124168962"/>
      <w:bookmarkStart w:id="41" w:name="_Toc124168541"/>
      <w:r>
        <w:rPr>
          <w:rFonts w:hint="eastAsia" w:ascii="仿宋_GB2312" w:eastAsia="仿宋_GB2312"/>
          <w:b/>
          <w:sz w:val="24"/>
          <w:szCs w:val="24"/>
        </w:rPr>
        <w:t xml:space="preserve">图1. </w:t>
      </w:r>
      <w:r>
        <w:rPr>
          <w:rFonts w:ascii="仿宋_GB2312" w:eastAsia="仿宋_GB2312"/>
          <w:b/>
          <w:sz w:val="24"/>
          <w:szCs w:val="24"/>
        </w:rPr>
        <w:fldChar w:fldCharType="begin"/>
      </w:r>
      <w:r>
        <w:rPr>
          <w:rFonts w:ascii="仿宋_GB2312" w:eastAsia="仿宋_GB2312"/>
          <w:b/>
          <w:sz w:val="24"/>
          <w:szCs w:val="24"/>
        </w:rPr>
        <w:instrText xml:space="preserve"> </w:instrText>
      </w:r>
      <w:r>
        <w:rPr>
          <w:rFonts w:hint="eastAsia" w:ascii="仿宋_GB2312" w:eastAsia="仿宋_GB2312"/>
          <w:b/>
          <w:sz w:val="24"/>
          <w:szCs w:val="24"/>
        </w:rPr>
        <w:instrText xml:space="preserve">SEQ 图1. \* ARABIC</w:instrText>
      </w:r>
      <w:r>
        <w:rPr>
          <w:rFonts w:ascii="仿宋_GB2312" w:eastAsia="仿宋_GB2312"/>
          <w:b/>
          <w:sz w:val="24"/>
          <w:szCs w:val="24"/>
        </w:rPr>
        <w:instrText xml:space="preserve"> </w:instrText>
      </w:r>
      <w:r>
        <w:rPr>
          <w:rFonts w:ascii="仿宋_GB2312" w:eastAsia="仿宋_GB2312"/>
          <w:b/>
          <w:sz w:val="24"/>
          <w:szCs w:val="24"/>
        </w:rPr>
        <w:fldChar w:fldCharType="separate"/>
      </w:r>
      <w:r>
        <w:rPr>
          <w:rFonts w:ascii="仿宋_GB2312" w:eastAsia="仿宋_GB2312"/>
          <w:b/>
          <w:sz w:val="24"/>
          <w:szCs w:val="24"/>
        </w:rPr>
        <w:t>6</w:t>
      </w:r>
      <w:r>
        <w:rPr>
          <w:rFonts w:ascii="仿宋_GB2312" w:eastAsia="仿宋_GB2312"/>
          <w:b/>
          <w:sz w:val="24"/>
          <w:szCs w:val="24"/>
        </w:rPr>
        <w:fldChar w:fldCharType="end"/>
      </w:r>
      <w:bookmarkStart w:id="42" w:name="_Hlk121990257"/>
      <w:r>
        <w:rPr>
          <w:rFonts w:hint="eastAsia" w:ascii="仿宋_GB2312" w:eastAsia="仿宋_GB2312"/>
          <w:b/>
          <w:sz w:val="24"/>
          <w:szCs w:val="24"/>
        </w:rPr>
        <w:t>同苏州大学共建马克思主义学院</w:t>
      </w:r>
      <w:bookmarkEnd w:id="39"/>
      <w:bookmarkEnd w:id="40"/>
      <w:bookmarkEnd w:id="41"/>
    </w:p>
    <w:bookmarkEnd w:id="42"/>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高度重视德育载体建设，搭建平台，助力学生身心健康，激发学生励志成才。开展丰富多彩的校园文化活动、体育文化系列活动、 “励志成长”素质拓展资助主题活动等，举办喜迎党的二十大歌咏比赛、艺术作品展、宿舍文化展等，营造向上向善、风清气正的校园文化环境。举办5.25心理健康教育月活动，围绕“感恩”主题开展系列活动，帮助学生用积极心理看待自己与他人关系，学会表达，学会沟通。红十字会志愿者在校内开展“</w:t>
      </w:r>
      <w:r>
        <w:rPr>
          <w:rFonts w:ascii="仿宋" w:hAnsi="仿宋" w:eastAsia="仿宋"/>
          <w:sz w:val="28"/>
          <w:szCs w:val="28"/>
        </w:rPr>
        <w:t>5.8</w:t>
      </w:r>
      <w:r>
        <w:rPr>
          <w:rFonts w:hint="eastAsia" w:ascii="仿宋" w:hAnsi="仿宋" w:eastAsia="仿宋"/>
          <w:sz w:val="28"/>
          <w:szCs w:val="28"/>
        </w:rPr>
        <w:t>国际红十字日”广场宣传，推广急救培训知识，激发义务献血，举行初级救护员培训。关注学生心理健康，大力开展青春健康教育。建立重点人群关爱制度，结合学生实际开展心理健康教育、防艾教育、禁毒教育等七大主题的生命教育课程。以“爱心小屋”为平台，细致做好资助育人工作，面向家庭经济困难学生发放爱心物资，鼓励学生通过志愿服务积攒爱心值，兑换生活物资，设立爱心捐赠区，号召师生捐赠闲置物品供学生使用，对经济困难学生提供就业创业机会，不断提升资助工作质量，做到精准资助、立体关爱。</w:t>
      </w:r>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加强和规范教学管理，高度重视教师在立德树人中的关键责任，该校出台《教师师德失范行为处理办法》、完善《教学事故认定管理办法》，做到学术研究无禁区、课堂讲授有纪律，实行师德失范“一票否决”制。严把入口关，完善教师评聘和考核机制，加强网络意识形态阵地管理。深刻理解并把握立德树人根本任务，对自我提出了加强政治理论学习，确立教师职业理想，强化教师职业责任，严守教师职业纪律，严格遵守《新时代高校教师职业行为十项准则》，争做“四有”好教师等要求。在具体工作上，持续推进师德师风建设，获取实效（见案例2）。学校教务处常务副处长胡玮、艺术与建筑学院副院长江水明被</w:t>
      </w:r>
      <w:r>
        <w:rPr>
          <w:rFonts w:ascii="仿宋" w:hAnsi="仿宋" w:eastAsia="仿宋"/>
          <w:sz w:val="28"/>
          <w:szCs w:val="28"/>
        </w:rPr>
        <w:t>评选</w:t>
      </w:r>
      <w:r>
        <w:rPr>
          <w:rFonts w:hint="eastAsia" w:ascii="仿宋" w:hAnsi="仿宋" w:eastAsia="仿宋"/>
          <w:sz w:val="28"/>
          <w:szCs w:val="28"/>
        </w:rPr>
        <w:t>为</w:t>
      </w:r>
      <w:r>
        <w:rPr>
          <w:rFonts w:ascii="仿宋" w:hAnsi="仿宋" w:eastAsia="仿宋"/>
          <w:sz w:val="28"/>
          <w:szCs w:val="28"/>
        </w:rPr>
        <w:t>“师德师风”模范教师。</w:t>
      </w:r>
      <w:r>
        <w:rPr>
          <w:rFonts w:hint="eastAsia" w:ascii="仿宋" w:hAnsi="仿宋" w:eastAsia="仿宋"/>
          <w:sz w:val="28"/>
          <w:szCs w:val="28"/>
        </w:rPr>
        <w:t>《现代快报》以“苏州高博‘师德师风’建设结硕果”为题作了专题报道。</w:t>
      </w:r>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结合 “厚德、致知、慎微、博大” 的“高博”校训，该校重视德育载体建设，搭建平台，组织活动，助力学生身心健康，激发学生励志成才。如丰富多彩的思想教育活动、校园文化活动，体育文化系列活动等。</w:t>
      </w:r>
      <w:r>
        <w:rPr>
          <w:rFonts w:ascii="仿宋" w:hAnsi="仿宋" w:eastAsia="仿宋"/>
          <w:sz w:val="28"/>
          <w:szCs w:val="28"/>
        </w:rPr>
        <w:t>人文社科学院、机电学院、国际商学院等开展多场 “树立文明新风，弘扬优良学风”主题班会。各二级学院开展 “资助政策学习”主题班会：国际商学院“暖心战“疫”，资助育人”； 机电工程学院“助学育人，感恩社会”；人文社会科学学院“资助育人，筑梦未来”。 医学与公共服务学院借第八个国家宪法日，组织了一场宪法知识竞赛，普及法律基础知识，引导全院学生做知法守法好公民。</w:t>
      </w:r>
      <w:r>
        <w:rPr>
          <w:rFonts w:hint="eastAsia" w:ascii="仿宋" w:hAnsi="仿宋" w:eastAsia="仿宋"/>
          <w:sz w:val="28"/>
          <w:szCs w:val="28"/>
        </w:rPr>
        <w:t>配合在线教学，学校举办多种心理健康主题活动：学生健康教育中心的“</w:t>
      </w:r>
      <w:r>
        <w:rPr>
          <w:rFonts w:ascii="仿宋" w:hAnsi="仿宋" w:eastAsia="仿宋"/>
          <w:sz w:val="28"/>
          <w:szCs w:val="28"/>
        </w:rPr>
        <w:t>3.20咱爱您” 心理健康教育周主题班会</w:t>
      </w:r>
      <w:r>
        <w:rPr>
          <w:rFonts w:hint="eastAsia" w:ascii="仿宋" w:hAnsi="仿宋" w:eastAsia="仿宋"/>
          <w:sz w:val="28"/>
          <w:szCs w:val="28"/>
        </w:rPr>
        <w:t>近一个月</w:t>
      </w:r>
      <w:r>
        <w:rPr>
          <w:rFonts w:ascii="仿宋" w:hAnsi="仿宋" w:eastAsia="仿宋"/>
          <w:sz w:val="28"/>
          <w:szCs w:val="28"/>
        </w:rPr>
        <w:t>开展了124场，参与学生累计7680余人次。 “关爱学生，从‘心’开始”</w:t>
      </w:r>
      <w:r>
        <w:rPr>
          <w:rFonts w:hint="eastAsia" w:ascii="仿宋" w:hAnsi="仿宋" w:eastAsia="仿宋"/>
          <w:sz w:val="28"/>
          <w:szCs w:val="28"/>
        </w:rPr>
        <w:t>、</w:t>
      </w:r>
      <w:r>
        <w:rPr>
          <w:rFonts w:ascii="仿宋" w:hAnsi="仿宋" w:eastAsia="仿宋"/>
          <w:sz w:val="28"/>
          <w:szCs w:val="28"/>
        </w:rPr>
        <w:t>“向阳携行，共创未来”</w:t>
      </w:r>
      <w:r>
        <w:rPr>
          <w:rFonts w:hint="eastAsia" w:ascii="仿宋" w:hAnsi="仿宋" w:eastAsia="仿宋"/>
          <w:sz w:val="28"/>
          <w:szCs w:val="28"/>
        </w:rPr>
        <w:t>、</w:t>
      </w:r>
      <w:r>
        <w:rPr>
          <w:rFonts w:ascii="仿宋" w:hAnsi="仿宋" w:eastAsia="仿宋"/>
          <w:sz w:val="28"/>
          <w:szCs w:val="28"/>
        </w:rPr>
        <w:t>“阳光自律，你我同行” “健康从心开始，生命因你绽放” “心相近、云相聚”</w:t>
      </w:r>
      <w:r>
        <w:rPr>
          <w:rFonts w:hint="eastAsia" w:ascii="仿宋" w:hAnsi="仿宋" w:eastAsia="仿宋"/>
          <w:sz w:val="28"/>
          <w:szCs w:val="28"/>
        </w:rPr>
        <w:t>等各二级学院</w:t>
      </w:r>
      <w:r>
        <w:rPr>
          <w:rFonts w:ascii="仿宋" w:hAnsi="仿宋" w:eastAsia="仿宋"/>
          <w:sz w:val="28"/>
          <w:szCs w:val="28"/>
        </w:rPr>
        <w:t>线上心理健康活动</w:t>
      </w:r>
      <w:r>
        <w:rPr>
          <w:rFonts w:hint="eastAsia" w:ascii="仿宋" w:hAnsi="仿宋" w:eastAsia="仿宋"/>
          <w:sz w:val="28"/>
          <w:szCs w:val="28"/>
        </w:rPr>
        <w:t>丰富多彩</w:t>
      </w:r>
      <w:r>
        <w:rPr>
          <w:rFonts w:ascii="仿宋" w:hAnsi="仿宋" w:eastAsia="仿宋"/>
          <w:sz w:val="28"/>
          <w:szCs w:val="28"/>
        </w:rPr>
        <w:t>。2022年4月15日是我国第七个全民国家安全教育日，学校围绕主题“树牢总体国家安全观，感悟新时代国家安全成就，组织开展了“4</w:t>
      </w:r>
      <w:r>
        <w:rPr>
          <w:rFonts w:hint="eastAsia" w:ascii="微软雅黑" w:hAnsi="微软雅黑" w:eastAsia="微软雅黑" w:cs="微软雅黑"/>
          <w:sz w:val="28"/>
          <w:szCs w:val="28"/>
        </w:rPr>
        <w:t>•</w:t>
      </w:r>
      <w:r>
        <w:rPr>
          <w:rFonts w:ascii="仿宋" w:hAnsi="仿宋" w:eastAsia="仿宋"/>
          <w:sz w:val="28"/>
          <w:szCs w:val="28"/>
        </w:rPr>
        <w:t>15 全民国家安全教育日”宣传教育系列活动。5月以来，围绕立德树人根本任务和为党育人政治职责，根据该校《关于开展“喜迎二十大、永远跟党走、奋进新征程”主题教育实践活动的通知》相关工作部署，学校学生工作处与校团委组织 “喜迎二十大、永远跟党走、奋进新征程”主题教育实践活动。信息与软件学院与医学与公共服务学院共同组织开展了 “喜迎二十大·筑梦向未来”线上主题诵读比赛；机电工程学院和人文社科学院合作开展“赓续青春百年志，踔厉奋发向未来”主题海报设计比赛活动；国际商学院和艺术与建筑学院共同组织开展“云聚力、共抗疫、向未来”抗疫手势舞活动；艺术与建筑学院举办“</w:t>
      </w:r>
      <w:r>
        <w:rPr>
          <w:rFonts w:hint="eastAsia" w:ascii="仿宋" w:hAnsi="仿宋" w:eastAsia="仿宋"/>
          <w:sz w:val="28"/>
          <w:szCs w:val="28"/>
        </w:rPr>
        <w:t>云上跳操，放飞身心”健身操比赛；信息与软件学院组织开展“文明礼仪在校园”素养公开课；机电工程学院开展“浓情悦端午，传统文化进校园”端午节主题活动和“书香溢端午，笔墨抒浓情”硬笔书法大赛；医学与公共服务学院举行国庆捐书活动，师生捐赠图书达两百多册等等。</w:t>
      </w:r>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努力就有成果，耕耘必有收获。该校马克思主义学院成功申报“2023年度在苏州高校马院部校共建项目”（苏州市委宣传部项目），获得B类资金扶持（10万元）；</w:t>
      </w:r>
      <w:r>
        <w:rPr>
          <w:rFonts w:ascii="仿宋" w:hAnsi="仿宋" w:eastAsia="仿宋"/>
          <w:sz w:val="28"/>
          <w:szCs w:val="28"/>
        </w:rPr>
        <w:t>举办以“青春献礼二十大·强国有我新征程”为主题的大学生</w:t>
      </w:r>
      <w:r>
        <w:rPr>
          <w:rFonts w:hint="eastAsia" w:ascii="仿宋" w:hAnsi="仿宋" w:eastAsia="仿宋"/>
          <w:sz w:val="28"/>
          <w:szCs w:val="28"/>
        </w:rPr>
        <w:t>演</w:t>
      </w:r>
      <w:r>
        <w:rPr>
          <w:rFonts w:ascii="仿宋" w:hAnsi="仿宋" w:eastAsia="仿宋"/>
          <w:sz w:val="28"/>
          <w:szCs w:val="28"/>
        </w:rPr>
        <w:t>讲思政选拔赛。选出6名选手，参与到第六届全国高校大学生讲思政课公开课展示活动中。</w:t>
      </w:r>
      <w:r>
        <w:rPr>
          <w:rFonts w:hint="eastAsia" w:ascii="仿宋" w:hAnsi="仿宋" w:eastAsia="仿宋"/>
          <w:sz w:val="28"/>
          <w:szCs w:val="28"/>
        </w:rPr>
        <w:t>在高新区《奋斗百年路，起航新征程——“</w:t>
      </w:r>
      <w:r>
        <w:rPr>
          <w:rFonts w:ascii="仿宋" w:hAnsi="仿宋" w:eastAsia="仿宋"/>
          <w:sz w:val="28"/>
          <w:szCs w:val="28"/>
        </w:rPr>
        <w:t>i高新 e起拍”》短视频大赛中，该校报送的《唱支山歌给党听》短视频荣获三等奖。</w:t>
      </w:r>
      <w:r>
        <w:rPr>
          <w:rFonts w:hint="eastAsia" w:ascii="仿宋" w:hAnsi="仿宋" w:eastAsia="仿宋"/>
          <w:sz w:val="28"/>
          <w:szCs w:val="28"/>
        </w:rPr>
        <w:t>在苏高校优秀资助育人项目分享会上，该校 “高博爱心小屋公益项目”荣获苏州市优秀资助项目二等奖，并获得了7.5万元的资助专项奖励经费。在2021年苏州市高职高专院校思想政治教育工作案例评选中，方超、赵雪飞、刘旭日三位教师荣获三等奖；在2021年度在苏高校家庭经济困难大学生优秀资助育人项目评选中，周萍老师负责的“高博“筑梦、铸人”公益项目”荣获三等奖。李月峰、牛伟老师荣获2</w:t>
      </w:r>
      <w:r>
        <w:rPr>
          <w:rFonts w:ascii="仿宋" w:hAnsi="仿宋" w:eastAsia="仿宋"/>
          <w:sz w:val="28"/>
          <w:szCs w:val="28"/>
        </w:rPr>
        <w:t>021</w:t>
      </w:r>
      <w:r>
        <w:rPr>
          <w:rFonts w:hint="eastAsia" w:ascii="仿宋" w:hAnsi="仿宋" w:eastAsia="仿宋"/>
          <w:sz w:val="28"/>
          <w:szCs w:val="28"/>
        </w:rPr>
        <w:t>年苏州市优秀教育工作者；王甫红、赵雪飞、李东娇等三位老师获得2</w:t>
      </w:r>
      <w:r>
        <w:rPr>
          <w:rFonts w:ascii="仿宋" w:hAnsi="仿宋" w:eastAsia="仿宋"/>
          <w:sz w:val="28"/>
          <w:szCs w:val="28"/>
        </w:rPr>
        <w:t>021</w:t>
      </w:r>
      <w:r>
        <w:rPr>
          <w:rFonts w:hint="eastAsia" w:ascii="仿宋" w:hAnsi="仿宋" w:eastAsia="仿宋"/>
          <w:sz w:val="28"/>
          <w:szCs w:val="28"/>
        </w:rPr>
        <w:t>年苏州市“最美劳动者”称号。</w:t>
      </w:r>
    </w:p>
    <w:p>
      <w:pPr>
        <w:adjustRightInd w:val="0"/>
        <w:snapToGrid w:val="0"/>
        <w:spacing w:line="360" w:lineRule="auto"/>
        <w:ind w:firstLine="1280" w:firstLineChars="400"/>
      </w:pPr>
      <w:r>
        <w:rPr>
          <w:rFonts w:hint="eastAsia" w:ascii="仿宋" w:hAnsi="仿宋" w:eastAsia="仿宋"/>
          <w:sz w:val="32"/>
          <w:szCs w:val="32"/>
        </w:rPr>
        <w:t xml:space="preserve"> </w:t>
      </w:r>
    </w:p>
    <w:p>
      <w:pPr>
        <w:adjustRightInd w:val="0"/>
        <w:snapToGrid w:val="0"/>
        <w:spacing w:line="360" w:lineRule="auto"/>
        <w:outlineLvl w:val="2"/>
        <w:rPr>
          <w:rFonts w:ascii="仿宋_GB2312" w:hAnsi="宋体" w:eastAsia="仿宋_GB2312"/>
          <w:b/>
          <w:color w:val="000000" w:themeColor="text1"/>
          <w:sz w:val="24"/>
          <w:szCs w:val="24"/>
        </w:rPr>
      </w:pPr>
      <w:bookmarkStart w:id="43" w:name="_Toc124087877"/>
      <w:bookmarkStart w:id="44" w:name="_Toc119932688"/>
      <w:r>
        <w:rPr>
          <w:rFonts w:hint="eastAsia" w:ascii="仿宋_GB2312" w:hAnsi="宋体" w:eastAsia="仿宋_GB2312"/>
          <w:b/>
          <w:color w:val="000000" w:themeColor="text1"/>
          <w:sz w:val="24"/>
          <w:szCs w:val="24"/>
        </w:rPr>
        <w:t>案例</w:t>
      </w:r>
      <w:r>
        <w:rPr>
          <w:rFonts w:ascii="仿宋_GB2312" w:hAnsi="宋体" w:eastAsia="仿宋_GB2312"/>
          <w:b/>
          <w:color w:val="000000" w:themeColor="text1"/>
          <w:sz w:val="24"/>
          <w:szCs w:val="24"/>
        </w:rPr>
        <w:t>2</w:t>
      </w:r>
      <w:r>
        <w:rPr>
          <w:rFonts w:hint="eastAsia" w:ascii="仿宋_GB2312" w:hAnsi="宋体" w:eastAsia="仿宋_GB2312"/>
          <w:b/>
          <w:color w:val="000000" w:themeColor="text1"/>
          <w:sz w:val="24"/>
          <w:szCs w:val="24"/>
        </w:rPr>
        <w:t>：</w:t>
      </w:r>
      <w:bookmarkStart w:id="45" w:name="_Hlk118983361"/>
      <w:r>
        <w:rPr>
          <w:rFonts w:hint="eastAsia" w:ascii="仿宋_GB2312" w:hAnsi="宋体" w:eastAsia="仿宋_GB2312"/>
          <w:b/>
          <w:color w:val="000000" w:themeColor="text1"/>
          <w:sz w:val="24"/>
          <w:szCs w:val="24"/>
        </w:rPr>
        <w:t>【用师德师风建设活动强化教师立德树人责任】</w:t>
      </w:r>
      <w:bookmarkEnd w:id="43"/>
      <w:bookmarkEnd w:id="44"/>
      <w:bookmarkEnd w:id="45"/>
    </w:p>
    <w:p>
      <w:pPr>
        <w:widowControl/>
        <w:spacing w:line="360" w:lineRule="auto"/>
        <w:ind w:firstLine="480" w:firstLineChars="200"/>
        <w:rPr>
          <w:rFonts w:ascii="楷体_GB2312" w:hAnsi="宋体" w:eastAsia="楷体_GB2312" w:cs="Times New Roman"/>
          <w:color w:val="000000" w:themeColor="text1"/>
          <w:kern w:val="0"/>
          <w:sz w:val="24"/>
          <w:szCs w:val="24"/>
        </w:rPr>
      </w:pPr>
      <w:r>
        <w:rPr>
          <w:rFonts w:hint="eastAsia" w:ascii="楷体_GB2312" w:hAnsi="宋体" w:eastAsia="楷体_GB2312" w:cs="Times New Roman"/>
          <w:color w:val="000000" w:themeColor="text1"/>
          <w:kern w:val="0"/>
          <w:sz w:val="24"/>
          <w:szCs w:val="24"/>
        </w:rPr>
        <w:t>教师是立教之本、兴教之源，要尽到教书育人，立德树人的责任，师德至关重要。该校持续推进师德师风建设，</w:t>
      </w:r>
      <w:r>
        <w:rPr>
          <w:rFonts w:ascii="楷体_GB2312" w:hAnsi="宋体" w:eastAsia="楷体_GB2312" w:cs="Times New Roman"/>
          <w:color w:val="000000" w:themeColor="text1"/>
          <w:kern w:val="0"/>
          <w:sz w:val="24"/>
          <w:szCs w:val="24"/>
        </w:rPr>
        <w:t>取得显著成效。在“师德大讲堂”主题活动中，</w:t>
      </w:r>
      <w:r>
        <w:rPr>
          <w:rFonts w:hint="eastAsia" w:ascii="楷体_GB2312" w:hAnsi="宋体" w:eastAsia="楷体_GB2312" w:cs="Times New Roman"/>
          <w:color w:val="000000" w:themeColor="text1"/>
          <w:kern w:val="0"/>
          <w:sz w:val="24"/>
          <w:szCs w:val="24"/>
        </w:rPr>
        <w:t>特聘</w:t>
      </w:r>
      <w:r>
        <w:rPr>
          <w:rFonts w:ascii="楷体_GB2312" w:hAnsi="宋体" w:eastAsia="楷体_GB2312" w:cs="Times New Roman"/>
          <w:color w:val="000000" w:themeColor="text1"/>
          <w:kern w:val="0"/>
          <w:sz w:val="24"/>
          <w:szCs w:val="24"/>
        </w:rPr>
        <w:t>教授通过实际案例引导教师加强师德修养，用师爱贯穿教育教学活动，推动学校师德师风建设</w:t>
      </w:r>
      <w:r>
        <w:rPr>
          <w:rFonts w:hint="eastAsia" w:ascii="楷体_GB2312" w:hAnsi="宋体" w:eastAsia="楷体_GB2312" w:cs="Times New Roman"/>
          <w:color w:val="000000" w:themeColor="text1"/>
          <w:kern w:val="0"/>
          <w:sz w:val="24"/>
          <w:szCs w:val="24"/>
        </w:rPr>
        <w:t>的</w:t>
      </w:r>
      <w:r>
        <w:rPr>
          <w:rFonts w:ascii="楷体_GB2312" w:hAnsi="宋体" w:eastAsia="楷体_GB2312" w:cs="Times New Roman"/>
          <w:color w:val="000000" w:themeColor="text1"/>
          <w:kern w:val="0"/>
          <w:sz w:val="24"/>
          <w:szCs w:val="24"/>
        </w:rPr>
        <w:t>深化</w:t>
      </w:r>
      <w:r>
        <w:rPr>
          <w:rFonts w:hint="eastAsia" w:ascii="楷体_GB2312" w:hAnsi="宋体" w:eastAsia="楷体_GB2312" w:cs="Times New Roman"/>
          <w:color w:val="000000" w:themeColor="text1"/>
          <w:kern w:val="0"/>
          <w:sz w:val="24"/>
          <w:szCs w:val="24"/>
        </w:rPr>
        <w:t>和</w:t>
      </w:r>
      <w:r>
        <w:rPr>
          <w:rFonts w:ascii="楷体_GB2312" w:hAnsi="宋体" w:eastAsia="楷体_GB2312" w:cs="Times New Roman"/>
          <w:color w:val="000000" w:themeColor="text1"/>
          <w:kern w:val="0"/>
          <w:sz w:val="24"/>
          <w:szCs w:val="24"/>
        </w:rPr>
        <w:t>细化</w:t>
      </w:r>
      <w:r>
        <w:rPr>
          <w:rFonts w:hint="eastAsia" w:ascii="楷体_GB2312" w:hAnsi="宋体" w:eastAsia="楷体_GB2312" w:cs="Times New Roman"/>
          <w:color w:val="000000" w:themeColor="text1"/>
          <w:kern w:val="0"/>
          <w:sz w:val="24"/>
          <w:szCs w:val="24"/>
        </w:rPr>
        <w:t>；在</w:t>
      </w:r>
      <w:r>
        <w:rPr>
          <w:rFonts w:ascii="楷体_GB2312" w:hAnsi="宋体" w:eastAsia="楷体_GB2312" w:cs="Times New Roman"/>
          <w:color w:val="000000" w:themeColor="text1"/>
          <w:kern w:val="0"/>
          <w:sz w:val="24"/>
          <w:szCs w:val="24"/>
        </w:rPr>
        <w:t>开展</w:t>
      </w:r>
      <w:r>
        <w:rPr>
          <w:rFonts w:hint="eastAsia" w:ascii="楷体_GB2312" w:hAnsi="宋体" w:eastAsia="楷体_GB2312" w:cs="Times New Roman"/>
          <w:color w:val="000000" w:themeColor="text1"/>
          <w:kern w:val="0"/>
          <w:sz w:val="24"/>
          <w:szCs w:val="24"/>
        </w:rPr>
        <w:t>的</w:t>
      </w:r>
      <w:r>
        <w:rPr>
          <w:rFonts w:ascii="楷体_GB2312" w:hAnsi="宋体" w:eastAsia="楷体_GB2312" w:cs="Times New Roman"/>
          <w:color w:val="000000" w:themeColor="text1"/>
          <w:kern w:val="0"/>
          <w:sz w:val="24"/>
          <w:szCs w:val="24"/>
        </w:rPr>
        <w:t>“师德师风承诺书”签订活动</w:t>
      </w:r>
      <w:r>
        <w:rPr>
          <w:rFonts w:hint="eastAsia" w:ascii="楷体_GB2312" w:hAnsi="宋体" w:eastAsia="楷体_GB2312" w:cs="Times New Roman"/>
          <w:color w:val="000000" w:themeColor="text1"/>
          <w:kern w:val="0"/>
          <w:sz w:val="24"/>
          <w:szCs w:val="24"/>
        </w:rPr>
        <w:t>中（见图</w:t>
      </w:r>
      <w:r>
        <w:rPr>
          <w:rFonts w:ascii="楷体_GB2312" w:hAnsi="宋体" w:eastAsia="楷体_GB2312" w:cs="Times New Roman"/>
          <w:color w:val="000000" w:themeColor="text1"/>
          <w:kern w:val="0"/>
          <w:sz w:val="24"/>
          <w:szCs w:val="24"/>
        </w:rPr>
        <w:t>1.7</w:t>
      </w:r>
      <w:r>
        <w:rPr>
          <w:rFonts w:hint="eastAsia" w:ascii="楷体_GB2312" w:hAnsi="宋体" w:eastAsia="楷体_GB2312" w:cs="Times New Roman"/>
          <w:color w:val="000000" w:themeColor="text1"/>
          <w:kern w:val="0"/>
          <w:sz w:val="24"/>
          <w:szCs w:val="24"/>
        </w:rPr>
        <w:t>）</w:t>
      </w:r>
      <w:r>
        <w:rPr>
          <w:rFonts w:ascii="楷体_GB2312" w:hAnsi="宋体" w:eastAsia="楷体_GB2312" w:cs="Times New Roman"/>
          <w:color w:val="000000" w:themeColor="text1"/>
          <w:kern w:val="0"/>
          <w:sz w:val="24"/>
          <w:szCs w:val="24"/>
        </w:rPr>
        <w:t>，教师们认真阅读并学习师德师风承诺书，深刻理解</w:t>
      </w:r>
      <w:r>
        <w:rPr>
          <w:rFonts w:hint="eastAsia" w:ascii="楷体_GB2312" w:hAnsi="宋体" w:eastAsia="楷体_GB2312" w:cs="Times New Roman"/>
          <w:color w:val="000000" w:themeColor="text1"/>
          <w:kern w:val="0"/>
          <w:sz w:val="24"/>
          <w:szCs w:val="24"/>
        </w:rPr>
        <w:t>其</w:t>
      </w:r>
      <w:r>
        <w:rPr>
          <w:rFonts w:ascii="楷体_GB2312" w:hAnsi="宋体" w:eastAsia="楷体_GB2312" w:cs="Times New Roman"/>
          <w:color w:val="000000" w:themeColor="text1"/>
          <w:kern w:val="0"/>
          <w:sz w:val="24"/>
          <w:szCs w:val="24"/>
        </w:rPr>
        <w:t>精神，把握立德树人的根本任务。通过</w:t>
      </w:r>
      <w:r>
        <w:rPr>
          <w:rFonts w:hint="eastAsia" w:ascii="楷体_GB2312" w:hAnsi="宋体" w:eastAsia="楷体_GB2312" w:cs="Times New Roman"/>
          <w:color w:val="000000" w:themeColor="text1"/>
          <w:kern w:val="0"/>
          <w:sz w:val="24"/>
          <w:szCs w:val="24"/>
        </w:rPr>
        <w:t>承诺约定，强化师德师风，</w:t>
      </w:r>
      <w:r>
        <w:rPr>
          <w:rFonts w:ascii="楷体_GB2312" w:hAnsi="宋体" w:eastAsia="楷体_GB2312" w:cs="Times New Roman"/>
          <w:color w:val="000000" w:themeColor="text1"/>
          <w:kern w:val="0"/>
          <w:sz w:val="24"/>
          <w:szCs w:val="24"/>
        </w:rPr>
        <w:t>严肃校风校纪</w:t>
      </w:r>
      <w:r>
        <w:rPr>
          <w:rFonts w:hint="eastAsia" w:ascii="楷体_GB2312" w:hAnsi="宋体" w:eastAsia="楷体_GB2312" w:cs="Times New Roman"/>
          <w:color w:val="000000" w:themeColor="text1"/>
          <w:kern w:val="0"/>
          <w:sz w:val="24"/>
          <w:szCs w:val="24"/>
        </w:rPr>
        <w:t>；</w:t>
      </w:r>
      <w:r>
        <w:rPr>
          <w:rFonts w:ascii="楷体_GB2312" w:hAnsi="宋体" w:eastAsia="楷体_GB2312" w:cs="Times New Roman"/>
          <w:color w:val="000000" w:themeColor="text1"/>
          <w:kern w:val="0"/>
          <w:sz w:val="24"/>
          <w:szCs w:val="24"/>
        </w:rPr>
        <w:t>学校</w:t>
      </w:r>
      <w:r>
        <w:rPr>
          <w:rFonts w:hint="eastAsia" w:ascii="楷体_GB2312" w:hAnsi="宋体" w:eastAsia="楷体_GB2312" w:cs="Times New Roman"/>
          <w:color w:val="000000" w:themeColor="text1"/>
          <w:kern w:val="0"/>
          <w:sz w:val="24"/>
          <w:szCs w:val="24"/>
        </w:rPr>
        <w:t>出台</w:t>
      </w:r>
      <w:r>
        <w:rPr>
          <w:rFonts w:ascii="楷体_GB2312" w:hAnsi="宋体" w:eastAsia="楷体_GB2312" w:cs="Times New Roman"/>
          <w:color w:val="000000" w:themeColor="text1"/>
          <w:kern w:val="0"/>
          <w:sz w:val="24"/>
          <w:szCs w:val="24"/>
        </w:rPr>
        <w:t>《苏州高博软件技术职业学院“师德师风”模范教师评选办法》，</w:t>
      </w:r>
      <w:r>
        <w:rPr>
          <w:rFonts w:hint="eastAsia" w:ascii="楷体_GB2312" w:hAnsi="宋体" w:eastAsia="楷体_GB2312" w:cs="Times New Roman"/>
          <w:color w:val="000000" w:themeColor="text1"/>
          <w:kern w:val="0"/>
          <w:sz w:val="24"/>
          <w:szCs w:val="24"/>
        </w:rPr>
        <w:t>以此为依据</w:t>
      </w:r>
      <w:r>
        <w:rPr>
          <w:rFonts w:ascii="楷体_GB2312" w:hAnsi="宋体" w:eastAsia="楷体_GB2312" w:cs="Times New Roman"/>
          <w:color w:val="000000" w:themeColor="text1"/>
          <w:kern w:val="0"/>
          <w:sz w:val="24"/>
          <w:szCs w:val="24"/>
        </w:rPr>
        <w:t>开展 “师德师风”模范遴选以及首届“师德师风”模范先进事迹展示等活动</w:t>
      </w:r>
      <w:r>
        <w:rPr>
          <w:rFonts w:hint="eastAsia" w:ascii="楷体_GB2312" w:hAnsi="宋体" w:eastAsia="楷体_GB2312" w:cs="Times New Roman"/>
          <w:color w:val="000000" w:themeColor="text1"/>
          <w:kern w:val="0"/>
          <w:sz w:val="24"/>
          <w:szCs w:val="24"/>
        </w:rPr>
        <w:t>（见图</w:t>
      </w:r>
      <w:r>
        <w:rPr>
          <w:rFonts w:ascii="楷体_GB2312" w:hAnsi="宋体" w:eastAsia="楷体_GB2312" w:cs="Times New Roman"/>
          <w:color w:val="000000" w:themeColor="text1"/>
          <w:kern w:val="0"/>
          <w:sz w:val="24"/>
          <w:szCs w:val="24"/>
        </w:rPr>
        <w:t>1.8</w:t>
      </w:r>
      <w:r>
        <w:rPr>
          <w:rFonts w:hint="eastAsia" w:ascii="楷体_GB2312" w:hAnsi="宋体" w:eastAsia="楷体_GB2312" w:cs="Times New Roman"/>
          <w:color w:val="000000" w:themeColor="text1"/>
          <w:kern w:val="0"/>
          <w:sz w:val="24"/>
          <w:szCs w:val="24"/>
        </w:rPr>
        <w:t>）</w:t>
      </w:r>
      <w:r>
        <w:rPr>
          <w:rFonts w:ascii="楷体_GB2312" w:hAnsi="宋体" w:eastAsia="楷体_GB2312" w:cs="Times New Roman"/>
          <w:color w:val="000000" w:themeColor="text1"/>
          <w:kern w:val="0"/>
          <w:sz w:val="24"/>
          <w:szCs w:val="24"/>
        </w:rPr>
        <w:t>。以“师德师风”模范评选为契机，强化基础、抓住重点、建立规范、落实责任，促进全员全方位全过程</w:t>
      </w:r>
      <w:r>
        <w:rPr>
          <w:rFonts w:hint="eastAsia" w:ascii="楷体_GB2312" w:hAnsi="宋体" w:eastAsia="楷体_GB2312" w:cs="Times New Roman"/>
          <w:color w:val="000000" w:themeColor="text1"/>
          <w:kern w:val="0"/>
          <w:sz w:val="24"/>
          <w:szCs w:val="24"/>
        </w:rPr>
        <w:t>的</w:t>
      </w:r>
      <w:r>
        <w:rPr>
          <w:rFonts w:ascii="楷体_GB2312" w:hAnsi="宋体" w:eastAsia="楷体_GB2312" w:cs="Times New Roman"/>
          <w:color w:val="000000" w:themeColor="text1"/>
          <w:kern w:val="0"/>
          <w:sz w:val="24"/>
          <w:szCs w:val="24"/>
        </w:rPr>
        <w:t>师德养成，助推教师队伍建设，激励广大教师努力成为“四有”好老师，为学校教育事业发展营造良好氛围并提供坚实保障。</w:t>
      </w:r>
      <w:r>
        <w:rPr>
          <w:rFonts w:hint="eastAsia" w:ascii="楷体_GB2312" w:hAnsi="宋体" w:eastAsia="楷体_GB2312" w:cs="Times New Roman"/>
          <w:color w:val="000000" w:themeColor="text1"/>
          <w:kern w:val="0"/>
          <w:sz w:val="24"/>
          <w:szCs w:val="24"/>
        </w:rPr>
        <w:t>现代快报记者也先后采访了 “师德师风”模范教师，探访其敬业奉献的背后故事，并如实报道了学校通过优化工作机制，强化保障服务，已初步形成一支师德高尚、学术精湛、精干务实、充满活力，适应学校高质量发展需要的师资梯队队伍的建设成果。</w:t>
      </w:r>
    </w:p>
    <w:p>
      <w:pPr>
        <w:ind w:firstLine="480" w:firstLineChars="200"/>
      </w:pPr>
      <w:r>
        <w:rPr>
          <w:rFonts w:ascii="楷体_GB2312" w:hAnsi="宋体" w:eastAsia="楷体_GB2312" w:cs="Times New Roman"/>
          <w:color w:val="000000" w:themeColor="text1"/>
          <w:kern w:val="0"/>
          <w:sz w:val="24"/>
          <w:szCs w:val="24"/>
        </w:rPr>
        <w:drawing>
          <wp:anchor distT="0" distB="0" distL="114300" distR="114300" simplePos="0" relativeHeight="251660288" behindDoc="1" locked="0" layoutInCell="1" allowOverlap="1">
            <wp:simplePos x="0" y="0"/>
            <wp:positionH relativeFrom="margin">
              <wp:posOffset>1431290</wp:posOffset>
            </wp:positionH>
            <wp:positionV relativeFrom="paragraph">
              <wp:posOffset>67945</wp:posOffset>
            </wp:positionV>
            <wp:extent cx="3239770" cy="2428875"/>
            <wp:effectExtent l="0" t="0" r="0" b="0"/>
            <wp:wrapTight wrapText="bothSides">
              <wp:wrapPolygon>
                <wp:start x="0" y="0"/>
                <wp:lineTo x="0" y="21459"/>
                <wp:lineTo x="21507" y="21459"/>
                <wp:lineTo x="21507" y="0"/>
                <wp:lineTo x="0" y="0"/>
              </wp:wrapPolygon>
            </wp:wrapTight>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239770" cy="2428875"/>
                    </a:xfrm>
                    <a:prstGeom prst="rect">
                      <a:avLst/>
                    </a:prstGeom>
                    <a:noFill/>
                    <a:ln>
                      <a:noFill/>
                    </a:ln>
                  </pic:spPr>
                </pic:pic>
              </a:graphicData>
            </a:graphic>
          </wp:anchor>
        </w:drawing>
      </w:r>
      <w:r>
        <w:rPr>
          <w:rFonts w:hint="eastAsia"/>
        </w:rPr>
        <w:t xml:space="preserve"> </w:t>
      </w:r>
      <w:r>
        <w:t xml:space="preserve"> </w:t>
      </w:r>
      <w:r>
        <w:rPr>
          <w:rFonts w:hint="eastAsia"/>
        </w:rPr>
        <w:t xml:space="preserve"> </w:t>
      </w:r>
      <w:r>
        <w:t xml:space="preserve">                                                                                       </w:t>
      </w:r>
    </w:p>
    <w:p>
      <w:pPr>
        <w:widowControl/>
        <w:spacing w:after="156" w:afterLines="50" w:line="360" w:lineRule="auto"/>
        <w:ind w:firstLine="241" w:firstLineChars="100"/>
        <w:rPr>
          <w:rFonts w:ascii="仿宋_GB2312" w:eastAsia="仿宋_GB2312"/>
          <w:b/>
          <w:sz w:val="24"/>
          <w:szCs w:val="24"/>
        </w:rPr>
      </w:pPr>
      <w:bookmarkStart w:id="46" w:name="_Hlk121990277"/>
    </w:p>
    <w:p>
      <w:pPr>
        <w:widowControl/>
        <w:spacing w:after="156" w:afterLines="50" w:line="360" w:lineRule="auto"/>
        <w:ind w:firstLine="241" w:firstLineChars="100"/>
        <w:rPr>
          <w:rFonts w:ascii="仿宋_GB2312" w:eastAsia="仿宋_GB2312"/>
          <w:b/>
          <w:sz w:val="24"/>
          <w:szCs w:val="24"/>
        </w:rPr>
      </w:pPr>
    </w:p>
    <w:p>
      <w:pPr>
        <w:widowControl/>
        <w:spacing w:after="156" w:afterLines="50" w:line="360" w:lineRule="auto"/>
        <w:ind w:firstLine="241" w:firstLineChars="100"/>
        <w:rPr>
          <w:rFonts w:ascii="仿宋_GB2312" w:eastAsia="仿宋_GB2312"/>
          <w:b/>
          <w:sz w:val="24"/>
          <w:szCs w:val="24"/>
        </w:rPr>
      </w:pPr>
    </w:p>
    <w:p>
      <w:pPr>
        <w:widowControl/>
        <w:spacing w:after="156" w:afterLines="50" w:line="360" w:lineRule="auto"/>
        <w:ind w:firstLine="241" w:firstLineChars="100"/>
        <w:rPr>
          <w:rFonts w:ascii="仿宋_GB2312" w:eastAsia="仿宋_GB2312"/>
          <w:b/>
          <w:sz w:val="24"/>
          <w:szCs w:val="24"/>
        </w:rPr>
      </w:pPr>
    </w:p>
    <w:p>
      <w:pPr>
        <w:widowControl/>
        <w:spacing w:after="156" w:afterLines="50" w:line="360" w:lineRule="auto"/>
        <w:ind w:firstLine="241" w:firstLineChars="100"/>
        <w:rPr>
          <w:rFonts w:ascii="仿宋_GB2312" w:eastAsia="仿宋_GB2312"/>
          <w:b/>
          <w:sz w:val="24"/>
          <w:szCs w:val="24"/>
        </w:rPr>
      </w:pPr>
    </w:p>
    <w:p>
      <w:pPr>
        <w:widowControl/>
        <w:spacing w:after="156" w:afterLines="50" w:line="360" w:lineRule="auto"/>
        <w:ind w:firstLine="241" w:firstLineChars="100"/>
        <w:rPr>
          <w:rFonts w:ascii="仿宋_GB2312" w:eastAsia="仿宋_GB2312"/>
          <w:b/>
          <w:sz w:val="24"/>
          <w:szCs w:val="24"/>
        </w:rPr>
      </w:pPr>
    </w:p>
    <w:p>
      <w:pPr>
        <w:jc w:val="center"/>
        <w:rPr>
          <w:rFonts w:ascii="仿宋_GB2312" w:eastAsia="仿宋_GB2312"/>
          <w:b/>
          <w:sz w:val="24"/>
          <w:szCs w:val="24"/>
        </w:rPr>
      </w:pPr>
      <w:bookmarkStart w:id="47" w:name="_Toc124169685"/>
      <w:bookmarkStart w:id="48" w:name="_Toc124168542"/>
      <w:bookmarkStart w:id="49" w:name="_Toc124168963"/>
      <w:r>
        <w:rPr>
          <w:rFonts w:hint="eastAsia" w:ascii="仿宋_GB2312" w:eastAsia="仿宋_GB2312"/>
          <w:b/>
          <w:sz w:val="24"/>
          <w:szCs w:val="24"/>
        </w:rPr>
        <w:t xml:space="preserve">图1. </w:t>
      </w:r>
      <w:r>
        <w:rPr>
          <w:rFonts w:ascii="仿宋_GB2312" w:eastAsia="仿宋_GB2312"/>
          <w:b/>
          <w:sz w:val="24"/>
          <w:szCs w:val="24"/>
        </w:rPr>
        <w:fldChar w:fldCharType="begin"/>
      </w:r>
      <w:r>
        <w:rPr>
          <w:rFonts w:ascii="仿宋_GB2312" w:eastAsia="仿宋_GB2312"/>
          <w:b/>
          <w:sz w:val="24"/>
          <w:szCs w:val="24"/>
        </w:rPr>
        <w:instrText xml:space="preserve"> </w:instrText>
      </w:r>
      <w:r>
        <w:rPr>
          <w:rFonts w:hint="eastAsia" w:ascii="仿宋_GB2312" w:eastAsia="仿宋_GB2312"/>
          <w:b/>
          <w:sz w:val="24"/>
          <w:szCs w:val="24"/>
        </w:rPr>
        <w:instrText xml:space="preserve">SEQ 图1. \* ARABIC</w:instrText>
      </w:r>
      <w:r>
        <w:rPr>
          <w:rFonts w:ascii="仿宋_GB2312" w:eastAsia="仿宋_GB2312"/>
          <w:b/>
          <w:sz w:val="24"/>
          <w:szCs w:val="24"/>
        </w:rPr>
        <w:instrText xml:space="preserve"> </w:instrText>
      </w:r>
      <w:r>
        <w:rPr>
          <w:rFonts w:ascii="仿宋_GB2312" w:eastAsia="仿宋_GB2312"/>
          <w:b/>
          <w:sz w:val="24"/>
          <w:szCs w:val="24"/>
        </w:rPr>
        <w:fldChar w:fldCharType="separate"/>
      </w:r>
      <w:r>
        <w:rPr>
          <w:rFonts w:ascii="仿宋_GB2312" w:eastAsia="仿宋_GB2312"/>
          <w:b/>
          <w:sz w:val="24"/>
          <w:szCs w:val="24"/>
        </w:rPr>
        <w:t>7</w:t>
      </w:r>
      <w:r>
        <w:rPr>
          <w:rFonts w:ascii="仿宋_GB2312" w:eastAsia="仿宋_GB2312"/>
          <w:b/>
          <w:sz w:val="24"/>
          <w:szCs w:val="24"/>
        </w:rPr>
        <w:fldChar w:fldCharType="end"/>
      </w:r>
      <w:r>
        <w:rPr>
          <w:rFonts w:ascii="仿宋_GB2312" w:eastAsia="仿宋_GB2312"/>
          <w:b/>
          <w:sz w:val="24"/>
          <w:szCs w:val="24"/>
        </w:rPr>
        <w:t xml:space="preserve"> “</w:t>
      </w:r>
      <w:r>
        <w:rPr>
          <w:rFonts w:hint="eastAsia" w:ascii="仿宋_GB2312" w:eastAsia="仿宋_GB2312"/>
          <w:b/>
          <w:sz w:val="24"/>
          <w:szCs w:val="24"/>
        </w:rPr>
        <w:t>师德师风</w:t>
      </w:r>
      <w:r>
        <w:rPr>
          <w:rFonts w:ascii="仿宋_GB2312" w:eastAsia="仿宋_GB2312"/>
          <w:b/>
          <w:sz w:val="24"/>
          <w:szCs w:val="24"/>
        </w:rPr>
        <w:t>”</w:t>
      </w:r>
      <w:r>
        <w:rPr>
          <w:rFonts w:hint="eastAsia" w:ascii="仿宋_GB2312" w:eastAsia="仿宋_GB2312"/>
          <w:b/>
          <w:sz w:val="24"/>
          <w:szCs w:val="24"/>
        </w:rPr>
        <w:t>承诺书签订活动</w:t>
      </w:r>
      <w:bookmarkEnd w:id="47"/>
      <w:bookmarkEnd w:id="48"/>
      <w:bookmarkEnd w:id="49"/>
    </w:p>
    <w:bookmarkEnd w:id="46"/>
    <w:p>
      <w:pPr>
        <w:jc w:val="center"/>
      </w:pPr>
      <w:r>
        <w:drawing>
          <wp:inline distT="0" distB="0" distL="0" distR="0">
            <wp:extent cx="3239770" cy="2202815"/>
            <wp:effectExtent l="0" t="0" r="11430" b="698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3239770" cy="2202815"/>
                    </a:xfrm>
                    <a:prstGeom prst="rect">
                      <a:avLst/>
                    </a:prstGeom>
                    <a:noFill/>
                    <a:ln>
                      <a:noFill/>
                    </a:ln>
                  </pic:spPr>
                </pic:pic>
              </a:graphicData>
            </a:graphic>
          </wp:inline>
        </w:drawing>
      </w:r>
    </w:p>
    <w:p>
      <w:pPr>
        <w:jc w:val="center"/>
        <w:rPr>
          <w:rFonts w:ascii="仿宋_GB2312" w:eastAsia="仿宋_GB2312"/>
          <w:b/>
          <w:sz w:val="24"/>
          <w:szCs w:val="24"/>
        </w:rPr>
      </w:pPr>
      <w:bookmarkStart w:id="50" w:name="_Toc124168543"/>
      <w:bookmarkStart w:id="51" w:name="_Toc124168964"/>
      <w:bookmarkStart w:id="52" w:name="_Toc124169686"/>
      <w:r>
        <w:rPr>
          <w:rFonts w:hint="eastAsia" w:ascii="仿宋_GB2312" w:eastAsia="仿宋_GB2312"/>
          <w:b/>
          <w:sz w:val="24"/>
          <w:szCs w:val="24"/>
        </w:rPr>
        <w:t xml:space="preserve">图1. </w:t>
      </w:r>
      <w:r>
        <w:rPr>
          <w:rFonts w:ascii="仿宋_GB2312" w:eastAsia="仿宋_GB2312"/>
          <w:b/>
          <w:sz w:val="24"/>
          <w:szCs w:val="24"/>
        </w:rPr>
        <w:fldChar w:fldCharType="begin"/>
      </w:r>
      <w:r>
        <w:rPr>
          <w:rFonts w:ascii="仿宋_GB2312" w:eastAsia="仿宋_GB2312"/>
          <w:b/>
          <w:sz w:val="24"/>
          <w:szCs w:val="24"/>
        </w:rPr>
        <w:instrText xml:space="preserve"> </w:instrText>
      </w:r>
      <w:r>
        <w:rPr>
          <w:rFonts w:hint="eastAsia" w:ascii="仿宋_GB2312" w:eastAsia="仿宋_GB2312"/>
          <w:b/>
          <w:sz w:val="24"/>
          <w:szCs w:val="24"/>
        </w:rPr>
        <w:instrText xml:space="preserve">SEQ 图1. \* ARABIC</w:instrText>
      </w:r>
      <w:r>
        <w:rPr>
          <w:rFonts w:ascii="仿宋_GB2312" w:eastAsia="仿宋_GB2312"/>
          <w:b/>
          <w:sz w:val="24"/>
          <w:szCs w:val="24"/>
        </w:rPr>
        <w:instrText xml:space="preserve"> </w:instrText>
      </w:r>
      <w:r>
        <w:rPr>
          <w:rFonts w:ascii="仿宋_GB2312" w:eastAsia="仿宋_GB2312"/>
          <w:b/>
          <w:sz w:val="24"/>
          <w:szCs w:val="24"/>
        </w:rPr>
        <w:fldChar w:fldCharType="separate"/>
      </w:r>
      <w:r>
        <w:rPr>
          <w:rFonts w:ascii="仿宋_GB2312" w:eastAsia="仿宋_GB2312"/>
          <w:b/>
          <w:sz w:val="24"/>
          <w:szCs w:val="24"/>
        </w:rPr>
        <w:t>8</w:t>
      </w:r>
      <w:r>
        <w:rPr>
          <w:rFonts w:ascii="仿宋_GB2312" w:eastAsia="仿宋_GB2312"/>
          <w:b/>
          <w:sz w:val="24"/>
          <w:szCs w:val="24"/>
        </w:rPr>
        <w:fldChar w:fldCharType="end"/>
      </w:r>
      <w:r>
        <w:rPr>
          <w:rFonts w:ascii="仿宋_GB2312" w:eastAsia="仿宋_GB2312"/>
          <w:b/>
          <w:sz w:val="24"/>
          <w:szCs w:val="24"/>
        </w:rPr>
        <w:t xml:space="preserve"> “</w:t>
      </w:r>
      <w:r>
        <w:rPr>
          <w:rFonts w:hint="eastAsia" w:ascii="仿宋_GB2312" w:eastAsia="仿宋_GB2312"/>
          <w:b/>
          <w:sz w:val="24"/>
          <w:szCs w:val="24"/>
        </w:rPr>
        <w:t>师德师风</w:t>
      </w:r>
      <w:r>
        <w:rPr>
          <w:rFonts w:ascii="仿宋_GB2312" w:eastAsia="仿宋_GB2312"/>
          <w:b/>
          <w:sz w:val="24"/>
          <w:szCs w:val="24"/>
        </w:rPr>
        <w:t>”</w:t>
      </w:r>
      <w:r>
        <w:rPr>
          <w:rFonts w:hint="eastAsia" w:ascii="仿宋_GB2312" w:eastAsia="仿宋_GB2312"/>
          <w:b/>
          <w:sz w:val="24"/>
          <w:szCs w:val="24"/>
        </w:rPr>
        <w:t>模范评议活动</w:t>
      </w:r>
      <w:bookmarkEnd w:id="50"/>
      <w:bookmarkEnd w:id="51"/>
      <w:bookmarkEnd w:id="52"/>
    </w:p>
    <w:p>
      <w:pPr>
        <w:pStyle w:val="3"/>
        <w:spacing w:before="0" w:after="0" w:line="360" w:lineRule="auto"/>
        <w:ind w:firstLine="562" w:firstLineChars="200"/>
        <w:rPr>
          <w:rFonts w:ascii="仿宋_GB2312" w:eastAsia="仿宋_GB2312" w:hAnsiTheme="minorEastAsia"/>
          <w:b w:val="0"/>
          <w:sz w:val="28"/>
          <w:szCs w:val="28"/>
        </w:rPr>
      </w:pPr>
      <w:bookmarkStart w:id="53" w:name="_Toc124087878"/>
      <w:r>
        <w:rPr>
          <w:rFonts w:hint="eastAsia" w:ascii="仿宋_GB2312" w:eastAsia="仿宋_GB2312" w:hAnsiTheme="minorEastAsia"/>
          <w:sz w:val="28"/>
          <w:szCs w:val="28"/>
        </w:rPr>
        <w:t>1</w:t>
      </w:r>
      <w:r>
        <w:rPr>
          <w:rFonts w:ascii="仿宋_GB2312" w:eastAsia="仿宋_GB2312" w:hAnsiTheme="minorEastAsia"/>
          <w:sz w:val="28"/>
          <w:szCs w:val="28"/>
        </w:rPr>
        <w:t>.3</w:t>
      </w:r>
      <w:r>
        <w:rPr>
          <w:rFonts w:hint="eastAsia" w:ascii="仿宋_GB2312" w:eastAsia="仿宋_GB2312" w:hAnsiTheme="minorEastAsia"/>
          <w:sz w:val="28"/>
          <w:szCs w:val="28"/>
        </w:rPr>
        <w:t>就业质量</w:t>
      </w:r>
      <w:bookmarkEnd w:id="10"/>
      <w:bookmarkEnd w:id="12"/>
      <w:bookmarkEnd w:id="13"/>
      <w:bookmarkEnd w:id="53"/>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学校把就业工作列为“强校工程、民心工程”，各部门齐抓共管，形成合力，抓紧抓好。2022年该校毕业生人数</w:t>
      </w:r>
      <w:r>
        <w:rPr>
          <w:rFonts w:ascii="仿宋" w:hAnsi="仿宋" w:eastAsia="仿宋"/>
          <w:sz w:val="28"/>
          <w:szCs w:val="28"/>
        </w:rPr>
        <w:t>1363</w:t>
      </w:r>
      <w:r>
        <w:rPr>
          <w:rFonts w:hint="eastAsia" w:ascii="仿宋" w:hAnsi="仿宋" w:eastAsia="仿宋"/>
          <w:sz w:val="28"/>
          <w:szCs w:val="28"/>
        </w:rPr>
        <w:t>人，其月收入、去向落实率、面向三次产业就业人数相对稳定（见表1.1）；2</w:t>
      </w:r>
      <w:r>
        <w:rPr>
          <w:rFonts w:ascii="仿宋" w:hAnsi="仿宋" w:eastAsia="仿宋"/>
          <w:sz w:val="28"/>
          <w:szCs w:val="28"/>
        </w:rPr>
        <w:t>022</w:t>
      </w:r>
      <w:r>
        <w:rPr>
          <w:rFonts w:hint="eastAsia" w:ascii="仿宋" w:hAnsi="仿宋" w:eastAsia="仿宋"/>
          <w:sz w:val="28"/>
          <w:szCs w:val="28"/>
        </w:rPr>
        <w:t>年就业人数</w:t>
      </w:r>
      <w:r>
        <w:rPr>
          <w:rFonts w:ascii="仿宋" w:hAnsi="仿宋" w:eastAsia="仿宋"/>
          <w:sz w:val="28"/>
          <w:szCs w:val="28"/>
        </w:rPr>
        <w:t>1213</w:t>
      </w:r>
      <w:r>
        <w:rPr>
          <w:rFonts w:hint="eastAsia" w:ascii="仿宋" w:hAnsi="仿宋" w:eastAsia="仿宋"/>
          <w:sz w:val="28"/>
          <w:szCs w:val="28"/>
        </w:rPr>
        <w:t>人，就业率90.21%。留在当地就业</w:t>
      </w:r>
      <w:r>
        <w:rPr>
          <w:rFonts w:ascii="仿宋" w:hAnsi="仿宋" w:eastAsia="仿宋"/>
          <w:sz w:val="28"/>
          <w:szCs w:val="28"/>
        </w:rPr>
        <w:t>714</w:t>
      </w:r>
      <w:r>
        <w:rPr>
          <w:rFonts w:hint="eastAsia" w:ascii="仿宋" w:hAnsi="仿宋" w:eastAsia="仿宋"/>
          <w:sz w:val="28"/>
          <w:szCs w:val="28"/>
        </w:rPr>
        <w:t>人，到西部和东北地区就业</w:t>
      </w:r>
      <w:r>
        <w:rPr>
          <w:rFonts w:ascii="仿宋" w:hAnsi="仿宋" w:eastAsia="仿宋"/>
          <w:sz w:val="28"/>
          <w:szCs w:val="28"/>
        </w:rPr>
        <w:t>48</w:t>
      </w:r>
      <w:r>
        <w:rPr>
          <w:rFonts w:hint="eastAsia" w:ascii="仿宋" w:hAnsi="仿宋" w:eastAsia="仿宋"/>
          <w:sz w:val="28"/>
          <w:szCs w:val="28"/>
        </w:rPr>
        <w:t>人；到中小微企业等基层就业</w:t>
      </w:r>
      <w:r>
        <w:rPr>
          <w:rFonts w:ascii="仿宋" w:hAnsi="仿宋" w:eastAsia="仿宋"/>
          <w:sz w:val="28"/>
          <w:szCs w:val="28"/>
        </w:rPr>
        <w:t>1153</w:t>
      </w:r>
      <w:r>
        <w:rPr>
          <w:rFonts w:hint="eastAsia" w:ascii="仿宋" w:hAnsi="仿宋" w:eastAsia="仿宋"/>
          <w:sz w:val="28"/>
          <w:szCs w:val="28"/>
        </w:rPr>
        <w:t>人；到大型企业就业</w:t>
      </w:r>
      <w:r>
        <w:rPr>
          <w:rFonts w:ascii="仿宋" w:hAnsi="仿宋" w:eastAsia="仿宋"/>
          <w:sz w:val="28"/>
          <w:szCs w:val="28"/>
        </w:rPr>
        <w:t>46</w:t>
      </w:r>
      <w:r>
        <w:rPr>
          <w:rFonts w:hint="eastAsia" w:ascii="仿宋" w:hAnsi="仿宋" w:eastAsia="仿宋"/>
          <w:sz w:val="28"/>
          <w:szCs w:val="28"/>
        </w:rPr>
        <w:t>人（见表3.1）。虽然疫情有影响，但是该校毕业生就业质量保持稳定，面向第三产业的就业人数增长明显。</w:t>
      </w:r>
    </w:p>
    <w:p>
      <w:pPr>
        <w:adjustRightInd w:val="0"/>
        <w:snapToGrid w:val="0"/>
        <w:spacing w:line="360" w:lineRule="auto"/>
        <w:jc w:val="center"/>
        <w:rPr>
          <w:rFonts w:ascii="仿宋_GB2312" w:eastAsia="仿宋_GB2312" w:hAnsiTheme="minorEastAsia"/>
          <w:b/>
          <w:sz w:val="24"/>
          <w:szCs w:val="24"/>
        </w:rPr>
      </w:pPr>
      <w:bookmarkStart w:id="54" w:name="_Toc124170660"/>
      <w:bookmarkStart w:id="55" w:name="_Toc124170423"/>
      <w:bookmarkStart w:id="56" w:name="_Hlk121990304"/>
      <w:r>
        <w:rPr>
          <w:rFonts w:hint="eastAsia" w:ascii="仿宋_GB2312" w:eastAsia="仿宋_GB2312" w:hAnsiTheme="minorEastAsia"/>
          <w:b/>
          <w:sz w:val="24"/>
          <w:szCs w:val="24"/>
        </w:rPr>
        <w:t xml:space="preserve">表1. </w:t>
      </w:r>
      <w:r>
        <w:rPr>
          <w:rFonts w:ascii="仿宋_GB2312" w:eastAsia="仿宋_GB2312" w:hAnsiTheme="minorEastAsia"/>
          <w:b/>
          <w:sz w:val="24"/>
          <w:szCs w:val="24"/>
        </w:rPr>
        <w:fldChar w:fldCharType="begin"/>
      </w:r>
      <w:r>
        <w:rPr>
          <w:rFonts w:ascii="仿宋_GB2312" w:eastAsia="仿宋_GB2312" w:hAnsiTheme="minorEastAsia"/>
          <w:b/>
          <w:sz w:val="24"/>
          <w:szCs w:val="24"/>
        </w:rPr>
        <w:instrText xml:space="preserve"> </w:instrText>
      </w:r>
      <w:r>
        <w:rPr>
          <w:rFonts w:hint="eastAsia" w:ascii="仿宋_GB2312" w:eastAsia="仿宋_GB2312" w:hAnsiTheme="minorEastAsia"/>
          <w:b/>
          <w:sz w:val="24"/>
          <w:szCs w:val="24"/>
        </w:rPr>
        <w:instrText xml:space="preserve">SEQ 表1. \* ARABIC</w:instrText>
      </w:r>
      <w:r>
        <w:rPr>
          <w:rFonts w:ascii="仿宋_GB2312" w:eastAsia="仿宋_GB2312" w:hAnsiTheme="minorEastAsia"/>
          <w:b/>
          <w:sz w:val="24"/>
          <w:szCs w:val="24"/>
        </w:rPr>
        <w:instrText xml:space="preserve"> </w:instrText>
      </w:r>
      <w:r>
        <w:rPr>
          <w:rFonts w:ascii="仿宋_GB2312" w:eastAsia="仿宋_GB2312" w:hAnsiTheme="minorEastAsia"/>
          <w:b/>
          <w:sz w:val="24"/>
          <w:szCs w:val="24"/>
        </w:rPr>
        <w:fldChar w:fldCharType="separate"/>
      </w:r>
      <w:r>
        <w:rPr>
          <w:rFonts w:ascii="仿宋_GB2312" w:eastAsia="仿宋_GB2312" w:hAnsiTheme="minorEastAsia"/>
          <w:b/>
          <w:sz w:val="24"/>
          <w:szCs w:val="24"/>
        </w:rPr>
        <w:t>1</w:t>
      </w:r>
      <w:r>
        <w:rPr>
          <w:rFonts w:ascii="仿宋_GB2312" w:eastAsia="仿宋_GB2312" w:hAnsiTheme="minorEastAsia"/>
          <w:b/>
          <w:sz w:val="24"/>
          <w:szCs w:val="24"/>
        </w:rPr>
        <w:fldChar w:fldCharType="end"/>
      </w:r>
      <w:r>
        <w:rPr>
          <w:rFonts w:hint="eastAsia" w:ascii="仿宋_GB2312" w:eastAsia="仿宋_GB2312" w:hAnsiTheme="minorEastAsia"/>
          <w:b/>
          <w:sz w:val="24"/>
          <w:szCs w:val="24"/>
        </w:rPr>
        <w:t>计分卡</w:t>
      </w:r>
      <w:bookmarkEnd w:id="54"/>
      <w:bookmarkEnd w:id="55"/>
    </w:p>
    <w:bookmarkEnd w:id="56"/>
    <w:tbl>
      <w:tblPr>
        <w:tblStyle w:val="62"/>
        <w:tblW w:w="8380" w:type="dxa"/>
        <w:jc w:val="center"/>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Layout w:type="autofit"/>
        <w:tblCellMar>
          <w:top w:w="0" w:type="dxa"/>
          <w:left w:w="108" w:type="dxa"/>
          <w:bottom w:w="0" w:type="dxa"/>
          <w:right w:w="108" w:type="dxa"/>
        </w:tblCellMar>
      </w:tblPr>
      <w:tblGrid>
        <w:gridCol w:w="820"/>
        <w:gridCol w:w="4320"/>
        <w:gridCol w:w="1080"/>
        <w:gridCol w:w="1080"/>
        <w:gridCol w:w="1080"/>
      </w:tblGrid>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820" w:type="dxa"/>
            <w:tcBorders>
              <w:top w:val="single" w:color="CCE8CF" w:themeColor="background1" w:sz="4" w:space="0"/>
              <w:left w:val="single" w:color="CCE8CF" w:themeColor="background1" w:sz="4" w:space="0"/>
              <w:right w:val="nil"/>
              <w:insideV w:val="nil"/>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序号</w:t>
            </w:r>
          </w:p>
        </w:tc>
        <w:tc>
          <w:tcPr>
            <w:tcW w:w="4320" w:type="dxa"/>
            <w:tcBorders>
              <w:top w:val="single" w:color="CCE8CF" w:themeColor="background1" w:sz="4" w:space="0"/>
              <w:right w:val="nil"/>
              <w:insideV w:val="nil"/>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指标</w:t>
            </w:r>
          </w:p>
        </w:tc>
        <w:tc>
          <w:tcPr>
            <w:tcW w:w="1080" w:type="dxa"/>
            <w:tcBorders>
              <w:top w:val="single" w:color="CCE8CF" w:themeColor="background1" w:sz="4" w:space="0"/>
              <w:right w:val="nil"/>
              <w:insideV w:val="nil"/>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单位</w:t>
            </w:r>
          </w:p>
        </w:tc>
        <w:tc>
          <w:tcPr>
            <w:tcW w:w="1080" w:type="dxa"/>
            <w:tcBorders>
              <w:top w:val="single" w:color="CCE8CF" w:themeColor="background1" w:sz="4" w:space="0"/>
              <w:right w:val="nil"/>
              <w:insideV w:val="nil"/>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2021年</w:t>
            </w:r>
          </w:p>
        </w:tc>
        <w:tc>
          <w:tcPr>
            <w:tcW w:w="1080" w:type="dxa"/>
            <w:tcBorders>
              <w:top w:val="single" w:color="CCE8CF" w:themeColor="background1" w:sz="4" w:space="0"/>
              <w:right w:val="single" w:color="CCE8CF" w:themeColor="background1" w:sz="4" w:space="0"/>
              <w:insideV w:val="nil"/>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2022年</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820" w:type="dxa"/>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1</w:t>
            </w:r>
          </w:p>
        </w:tc>
        <w:tc>
          <w:tcPr>
            <w:tcW w:w="4320" w:type="dxa"/>
            <w:shd w:val="clear" w:color="auto" w:fill="BDD6EE" w:themeFill="accent5" w:themeFillTint="66"/>
          </w:tcPr>
          <w:p>
            <w:pPr>
              <w:widowControl/>
              <w:jc w:val="left"/>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毕业生人数</w:t>
            </w:r>
          </w:p>
        </w:tc>
        <w:tc>
          <w:tcPr>
            <w:tcW w:w="1080" w:type="dxa"/>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人</w:t>
            </w:r>
          </w:p>
        </w:tc>
        <w:tc>
          <w:tcPr>
            <w:tcW w:w="1080" w:type="dxa"/>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1397</w:t>
            </w:r>
          </w:p>
        </w:tc>
        <w:tc>
          <w:tcPr>
            <w:tcW w:w="1080" w:type="dxa"/>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1363</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820" w:type="dxa"/>
            <w:vMerge w:val="restart"/>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2</w:t>
            </w:r>
          </w:p>
        </w:tc>
        <w:tc>
          <w:tcPr>
            <w:tcW w:w="4320" w:type="dxa"/>
            <w:shd w:val="clear" w:color="auto" w:fill="DEEAF6" w:themeFill="accent5" w:themeFillTint="33"/>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毕业去向落实人数</w:t>
            </w:r>
          </w:p>
        </w:tc>
        <w:tc>
          <w:tcPr>
            <w:tcW w:w="1080" w:type="dxa"/>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人</w:t>
            </w:r>
          </w:p>
        </w:tc>
        <w:tc>
          <w:tcPr>
            <w:tcW w:w="1080" w:type="dxa"/>
            <w:shd w:val="clear" w:color="auto" w:fill="DEEAF6" w:themeFill="accent5" w:themeFillTint="33"/>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1381</w:t>
            </w:r>
          </w:p>
        </w:tc>
        <w:tc>
          <w:tcPr>
            <w:tcW w:w="1080" w:type="dxa"/>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1244</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820" w:type="dxa"/>
            <w:vMerge w:val="continue"/>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p>
        </w:tc>
        <w:tc>
          <w:tcPr>
            <w:tcW w:w="4320" w:type="dxa"/>
            <w:shd w:val="clear" w:color="auto" w:fill="BDD6EE" w:themeFill="accent5" w:themeFillTint="66"/>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其中：毕业生升学人数</w:t>
            </w:r>
          </w:p>
        </w:tc>
        <w:tc>
          <w:tcPr>
            <w:tcW w:w="1080" w:type="dxa"/>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人</w:t>
            </w:r>
          </w:p>
        </w:tc>
        <w:tc>
          <w:tcPr>
            <w:tcW w:w="1080" w:type="dxa"/>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42</w:t>
            </w:r>
          </w:p>
        </w:tc>
        <w:tc>
          <w:tcPr>
            <w:tcW w:w="1080" w:type="dxa"/>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31</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820" w:type="dxa"/>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3</w:t>
            </w:r>
          </w:p>
        </w:tc>
        <w:tc>
          <w:tcPr>
            <w:tcW w:w="4320" w:type="dxa"/>
            <w:shd w:val="clear" w:color="auto" w:fill="DEEAF6" w:themeFill="accent5" w:themeFillTint="33"/>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毕业生本省去向落实率</w:t>
            </w:r>
          </w:p>
        </w:tc>
        <w:tc>
          <w:tcPr>
            <w:tcW w:w="1080" w:type="dxa"/>
            <w:shd w:val="clear" w:color="auto" w:fill="DEEAF6" w:themeFill="accent5" w:themeFillTint="33"/>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w:t>
            </w:r>
          </w:p>
        </w:tc>
        <w:tc>
          <w:tcPr>
            <w:tcW w:w="1080" w:type="dxa"/>
            <w:shd w:val="clear" w:color="auto" w:fill="DEEAF6" w:themeFill="accent5" w:themeFillTint="33"/>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74.73</w:t>
            </w:r>
          </w:p>
        </w:tc>
        <w:tc>
          <w:tcPr>
            <w:tcW w:w="1080" w:type="dxa"/>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74.28</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820" w:type="dxa"/>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4</w:t>
            </w:r>
          </w:p>
        </w:tc>
        <w:tc>
          <w:tcPr>
            <w:tcW w:w="4320" w:type="dxa"/>
            <w:shd w:val="clear" w:color="auto" w:fill="BDD6EE" w:themeFill="accent5" w:themeFillTint="66"/>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月收入</w:t>
            </w:r>
          </w:p>
        </w:tc>
        <w:tc>
          <w:tcPr>
            <w:tcW w:w="1080" w:type="dxa"/>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元</w:t>
            </w:r>
          </w:p>
        </w:tc>
        <w:tc>
          <w:tcPr>
            <w:tcW w:w="1080" w:type="dxa"/>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4601</w:t>
            </w:r>
            <w:r>
              <w:rPr>
                <w:rFonts w:ascii="仿宋_GB2312" w:hAnsi="等线" w:eastAsia="仿宋_GB2312" w:cs="宋体"/>
                <w:color w:val="000000"/>
                <w:kern w:val="0"/>
                <w:sz w:val="24"/>
                <w:szCs w:val="24"/>
              </w:rPr>
              <w:t>.00</w:t>
            </w:r>
          </w:p>
        </w:tc>
        <w:tc>
          <w:tcPr>
            <w:tcW w:w="1080" w:type="dxa"/>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3992</w:t>
            </w:r>
            <w:r>
              <w:rPr>
                <w:rFonts w:ascii="仿宋_GB2312" w:hAnsi="等线" w:eastAsia="仿宋_GB2312" w:cs="宋体"/>
                <w:color w:val="000000"/>
                <w:kern w:val="0"/>
                <w:sz w:val="24"/>
                <w:szCs w:val="24"/>
              </w:rPr>
              <w:t>.00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820" w:type="dxa"/>
            <w:vMerge w:val="restart"/>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5</w:t>
            </w:r>
          </w:p>
        </w:tc>
        <w:tc>
          <w:tcPr>
            <w:tcW w:w="4320" w:type="dxa"/>
            <w:shd w:val="clear" w:color="auto" w:fill="DEEAF6" w:themeFill="accent5" w:themeFillTint="33"/>
          </w:tcPr>
          <w:p>
            <w:pPr>
              <w:widowControl/>
              <w:jc w:val="left"/>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毕业生面向三次产业就业人数</w:t>
            </w:r>
          </w:p>
        </w:tc>
        <w:tc>
          <w:tcPr>
            <w:tcW w:w="1080" w:type="dxa"/>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人</w:t>
            </w:r>
          </w:p>
        </w:tc>
        <w:tc>
          <w:tcPr>
            <w:tcW w:w="1080" w:type="dxa"/>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1</w:t>
            </w:r>
            <w:r>
              <w:rPr>
                <w:rFonts w:ascii="仿宋_GB2312" w:hAnsi="等线" w:eastAsia="仿宋_GB2312" w:cs="宋体"/>
                <w:color w:val="000000"/>
                <w:kern w:val="0"/>
                <w:sz w:val="24"/>
                <w:szCs w:val="24"/>
              </w:rPr>
              <w:t>325</w:t>
            </w:r>
          </w:p>
        </w:tc>
        <w:tc>
          <w:tcPr>
            <w:tcW w:w="1080" w:type="dxa"/>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1199</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820" w:type="dxa"/>
            <w:vMerge w:val="continue"/>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p>
        </w:tc>
        <w:tc>
          <w:tcPr>
            <w:tcW w:w="4320" w:type="dxa"/>
            <w:shd w:val="clear" w:color="auto" w:fill="BDD6EE" w:themeFill="accent5" w:themeFillTint="66"/>
          </w:tcPr>
          <w:p>
            <w:pPr>
              <w:widowControl/>
              <w:jc w:val="left"/>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其中：面向第一</w:t>
            </w:r>
            <w:r>
              <w:rPr>
                <w:rFonts w:hint="eastAsia" w:ascii="宋体" w:hAnsi="宋体" w:eastAsia="宋体" w:cs="宋体"/>
                <w:color w:val="000000"/>
                <w:kern w:val="0"/>
                <w:sz w:val="24"/>
                <w:szCs w:val="24"/>
              </w:rPr>
              <w:t>产业</w:t>
            </w:r>
          </w:p>
        </w:tc>
        <w:tc>
          <w:tcPr>
            <w:tcW w:w="1080" w:type="dxa"/>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人</w:t>
            </w:r>
          </w:p>
        </w:tc>
        <w:tc>
          <w:tcPr>
            <w:tcW w:w="1080" w:type="dxa"/>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6</w:t>
            </w:r>
          </w:p>
        </w:tc>
        <w:tc>
          <w:tcPr>
            <w:tcW w:w="1080" w:type="dxa"/>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3</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820" w:type="dxa"/>
            <w:vMerge w:val="continue"/>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p>
        </w:tc>
        <w:tc>
          <w:tcPr>
            <w:tcW w:w="4320" w:type="dxa"/>
            <w:shd w:val="clear" w:color="auto" w:fill="DEEAF6" w:themeFill="accent5" w:themeFillTint="33"/>
          </w:tcPr>
          <w:p>
            <w:pPr>
              <w:widowControl/>
              <w:ind w:firstLine="720" w:firstLineChars="300"/>
              <w:jc w:val="left"/>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 xml:space="preserve">  面向第二</w:t>
            </w:r>
            <w:r>
              <w:rPr>
                <w:rFonts w:hint="eastAsia" w:ascii="宋体" w:hAnsi="宋体" w:eastAsia="宋体" w:cs="宋体"/>
                <w:color w:val="000000"/>
                <w:kern w:val="0"/>
                <w:sz w:val="24"/>
                <w:szCs w:val="24"/>
              </w:rPr>
              <w:t>产业</w:t>
            </w:r>
          </w:p>
        </w:tc>
        <w:tc>
          <w:tcPr>
            <w:tcW w:w="1080" w:type="dxa"/>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人</w:t>
            </w:r>
          </w:p>
        </w:tc>
        <w:tc>
          <w:tcPr>
            <w:tcW w:w="1080" w:type="dxa"/>
            <w:shd w:val="clear" w:color="auto" w:fill="DEEAF6" w:themeFill="accent5" w:themeFillTint="33"/>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381</w:t>
            </w:r>
          </w:p>
        </w:tc>
        <w:tc>
          <w:tcPr>
            <w:tcW w:w="1080" w:type="dxa"/>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223</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820" w:type="dxa"/>
            <w:vMerge w:val="continue"/>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p>
        </w:tc>
        <w:tc>
          <w:tcPr>
            <w:tcW w:w="4320" w:type="dxa"/>
            <w:shd w:val="clear" w:color="auto" w:fill="BDD6EE" w:themeFill="accent5" w:themeFillTint="66"/>
          </w:tcPr>
          <w:p>
            <w:pPr>
              <w:widowControl/>
              <w:ind w:firstLine="720" w:firstLineChars="300"/>
              <w:jc w:val="left"/>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 xml:space="preserve">  </w:t>
            </w:r>
            <w:bookmarkStart w:id="57" w:name="_Hlk121822116"/>
            <w:r>
              <w:rPr>
                <w:rFonts w:hint="eastAsia" w:ascii="仿宋_GB2312" w:hAnsi="等线" w:eastAsia="仿宋_GB2312" w:cs="宋体"/>
                <w:color w:val="000000"/>
                <w:kern w:val="0"/>
                <w:sz w:val="24"/>
                <w:szCs w:val="24"/>
              </w:rPr>
              <w:t>面向第三</w:t>
            </w:r>
            <w:r>
              <w:rPr>
                <w:rFonts w:hint="eastAsia" w:ascii="宋体" w:hAnsi="宋体" w:eastAsia="宋体" w:cs="宋体"/>
                <w:color w:val="000000"/>
                <w:kern w:val="0"/>
                <w:sz w:val="24"/>
                <w:szCs w:val="24"/>
              </w:rPr>
              <w:t>产业</w:t>
            </w:r>
            <w:bookmarkEnd w:id="57"/>
          </w:p>
        </w:tc>
        <w:tc>
          <w:tcPr>
            <w:tcW w:w="1080" w:type="dxa"/>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人</w:t>
            </w:r>
          </w:p>
        </w:tc>
        <w:tc>
          <w:tcPr>
            <w:tcW w:w="1080" w:type="dxa"/>
            <w:shd w:val="clear" w:color="auto" w:fill="BDD6EE" w:themeFill="accent5" w:themeFillTint="66"/>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938</w:t>
            </w:r>
          </w:p>
        </w:tc>
        <w:tc>
          <w:tcPr>
            <w:tcW w:w="1080" w:type="dxa"/>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973</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820" w:type="dxa"/>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6</w:t>
            </w:r>
          </w:p>
        </w:tc>
        <w:tc>
          <w:tcPr>
            <w:tcW w:w="4320" w:type="dxa"/>
            <w:shd w:val="clear" w:color="auto" w:fill="DEEAF6" w:themeFill="accent5" w:themeFillTint="33"/>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自主创业率</w:t>
            </w:r>
          </w:p>
        </w:tc>
        <w:tc>
          <w:tcPr>
            <w:tcW w:w="1080" w:type="dxa"/>
            <w:shd w:val="clear" w:color="auto" w:fill="DEEAF6" w:themeFill="accent5" w:themeFillTint="33"/>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w:t>
            </w:r>
          </w:p>
        </w:tc>
        <w:tc>
          <w:tcPr>
            <w:tcW w:w="1080" w:type="dxa"/>
            <w:shd w:val="clear" w:color="auto" w:fill="DEEAF6" w:themeFill="accent5" w:themeFillTint="33"/>
          </w:tcPr>
          <w:p>
            <w:pPr>
              <w:widowControl/>
              <w:jc w:val="center"/>
              <w:rPr>
                <w:rFonts w:ascii="Times New Roman" w:hAnsi="Times New Roman" w:eastAsia="等线" w:cs="Times New Roman"/>
                <w:color w:val="000000"/>
                <w:kern w:val="0"/>
                <w:sz w:val="24"/>
                <w:szCs w:val="24"/>
              </w:rPr>
            </w:pPr>
            <w:r>
              <w:rPr>
                <w:rFonts w:hint="eastAsia" w:ascii="Times New Roman" w:hAnsi="Times New Roman" w:eastAsia="等线" w:cs="Times New Roman"/>
                <w:color w:val="000000"/>
                <w:kern w:val="0"/>
                <w:sz w:val="24"/>
                <w:szCs w:val="24"/>
              </w:rPr>
              <w:t>0</w:t>
            </w:r>
            <w:r>
              <w:rPr>
                <w:rFonts w:ascii="Times New Roman" w:hAnsi="Times New Roman" w:eastAsia="等线" w:cs="Times New Roman"/>
                <w:color w:val="000000"/>
                <w:kern w:val="0"/>
                <w:sz w:val="24"/>
                <w:szCs w:val="24"/>
              </w:rPr>
              <w:t>　</w:t>
            </w:r>
          </w:p>
        </w:tc>
        <w:tc>
          <w:tcPr>
            <w:tcW w:w="1080" w:type="dxa"/>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1.10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820" w:type="dxa"/>
            <w:tcBorders>
              <w:left w:val="single" w:color="CCE8CF" w:themeColor="background1" w:sz="4" w:space="0"/>
              <w:bottom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7</w:t>
            </w:r>
          </w:p>
        </w:tc>
        <w:tc>
          <w:tcPr>
            <w:tcW w:w="4320" w:type="dxa"/>
            <w:shd w:val="clear" w:color="auto" w:fill="BDD6EE" w:themeFill="accent5" w:themeFillTint="66"/>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毕业三年晋升比例</w:t>
            </w:r>
          </w:p>
        </w:tc>
        <w:tc>
          <w:tcPr>
            <w:tcW w:w="1080" w:type="dxa"/>
            <w:shd w:val="clear" w:color="auto" w:fill="BDD6EE" w:themeFill="accent5" w:themeFillTint="66"/>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w:t>
            </w:r>
          </w:p>
        </w:tc>
        <w:tc>
          <w:tcPr>
            <w:tcW w:w="1080" w:type="dxa"/>
            <w:shd w:val="clear" w:color="auto" w:fill="BDD6EE" w:themeFill="accent5" w:themeFillTint="66"/>
          </w:tcPr>
          <w:p>
            <w:pPr>
              <w:widowControl/>
              <w:jc w:val="center"/>
              <w:rPr>
                <w:rFonts w:ascii="Times New Roman" w:hAnsi="Times New Roman" w:eastAsia="等线" w:cs="Times New Roman"/>
                <w:color w:val="000000"/>
                <w:kern w:val="0"/>
                <w:sz w:val="24"/>
                <w:szCs w:val="24"/>
              </w:rPr>
            </w:pPr>
            <w:r>
              <w:rPr>
                <w:rFonts w:hint="eastAsia" w:ascii="Times New Roman" w:hAnsi="Times New Roman" w:eastAsia="等线" w:cs="Times New Roman"/>
                <w:color w:val="000000"/>
                <w:kern w:val="0"/>
                <w:sz w:val="24"/>
                <w:szCs w:val="24"/>
              </w:rPr>
              <w:t>3</w:t>
            </w:r>
            <w:r>
              <w:rPr>
                <w:rFonts w:ascii="Times New Roman" w:hAnsi="Times New Roman" w:eastAsia="等线" w:cs="Times New Roman"/>
                <w:color w:val="000000"/>
                <w:kern w:val="0"/>
                <w:sz w:val="24"/>
                <w:szCs w:val="24"/>
              </w:rPr>
              <w:t>9</w:t>
            </w:r>
          </w:p>
        </w:tc>
        <w:tc>
          <w:tcPr>
            <w:tcW w:w="1080" w:type="dxa"/>
            <w:shd w:val="clear" w:color="auto" w:fill="BDD6EE" w:themeFill="accent5" w:themeFillTint="66"/>
          </w:tcPr>
          <w:p>
            <w:pPr>
              <w:keepNext/>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40</w:t>
            </w:r>
          </w:p>
        </w:tc>
      </w:tr>
    </w:tbl>
    <w:p>
      <w:pPr>
        <w:adjustRightInd w:val="0"/>
        <w:snapToGrid w:val="0"/>
        <w:spacing w:line="360" w:lineRule="auto"/>
        <w:ind w:firstLine="560" w:firstLineChars="200"/>
        <w:rPr>
          <w:rFonts w:ascii="仿宋" w:hAnsi="仿宋" w:eastAsia="仿宋"/>
          <w:sz w:val="28"/>
          <w:szCs w:val="28"/>
        </w:rPr>
      </w:pPr>
      <w:r>
        <w:rPr>
          <w:rFonts w:ascii="仿宋" w:hAnsi="仿宋" w:eastAsia="仿宋"/>
          <w:sz w:val="28"/>
          <w:szCs w:val="28"/>
        </w:rPr>
        <w:t>学校</w:t>
      </w:r>
      <w:r>
        <w:rPr>
          <w:rFonts w:hint="eastAsia" w:ascii="仿宋" w:hAnsi="仿宋" w:eastAsia="仿宋"/>
          <w:sz w:val="28"/>
          <w:szCs w:val="28"/>
        </w:rPr>
        <w:t>坚持以就业为导向，校企深度融合，促进学生高质量就业；</w:t>
      </w:r>
      <w:r>
        <w:rPr>
          <w:rFonts w:ascii="仿宋" w:hAnsi="仿宋" w:eastAsia="仿宋"/>
          <w:sz w:val="28"/>
          <w:szCs w:val="28"/>
        </w:rPr>
        <w:t>定期组织就业指导人员参加国家职业指导资格培训</w:t>
      </w:r>
      <w:r>
        <w:rPr>
          <w:rFonts w:hint="eastAsia" w:ascii="仿宋" w:hAnsi="仿宋" w:eastAsia="仿宋"/>
          <w:sz w:val="28"/>
          <w:szCs w:val="28"/>
        </w:rPr>
        <w:t>；</w:t>
      </w:r>
      <w:r>
        <w:rPr>
          <w:rFonts w:ascii="仿宋" w:hAnsi="仿宋" w:eastAsia="仿宋"/>
          <w:sz w:val="28"/>
          <w:szCs w:val="28"/>
        </w:rPr>
        <w:t>重视帮扶特殊困难毕业生就业，做好帮贫助困工作</w:t>
      </w:r>
      <w:r>
        <w:rPr>
          <w:rFonts w:hint="eastAsia" w:ascii="仿宋" w:hAnsi="仿宋" w:eastAsia="仿宋"/>
          <w:sz w:val="28"/>
          <w:szCs w:val="28"/>
        </w:rPr>
        <w:t>；多措并举，打出“线上＋线下”组合拳，疫情期间，在认真贯彻落实防疫政策的前提下，积极筹备线下招聘会，为学生与用人单位搭建面对面零距离交流的桥梁；积极主动开展线上服务和线上就业指导，例如举办大学生个人简历制作大赛、大学生职业生涯规划大赛、就业求职讲座等系列就业指导活动，稳定毕业生就业率，全力为毕业生就业保驾护航。学校出台《二级学院就业工作管理办法》，明确各级单位就业工作职责并考核，2021年9月和</w:t>
      </w:r>
      <w:r>
        <w:rPr>
          <w:rFonts w:ascii="仿宋" w:hAnsi="仿宋" w:eastAsia="仿宋"/>
          <w:sz w:val="28"/>
          <w:szCs w:val="28"/>
        </w:rPr>
        <w:t>202</w:t>
      </w:r>
      <w:r>
        <w:rPr>
          <w:rFonts w:hint="eastAsia" w:ascii="仿宋" w:hAnsi="仿宋" w:eastAsia="仿宋"/>
          <w:sz w:val="28"/>
          <w:szCs w:val="28"/>
        </w:rPr>
        <w:t>2年6月毕业生校园专场招聘会，前后有近260家相关合作企业参加。特别是组织的2022届毕业生网络招聘会，特邀日立电梯有限公司、江苏鱼跃医疗有限公司、苏州中车轨交公司等知名企业，涉及了电子科技、软件技术、艺术设计、电子商务、轨道交通、医疗康复等多个专业领域近150家企业参加，提供岗位近2000个，为学校毕业生实习就业提供了充足的选择空间。各二级学院根据各自专业特点，同合作企业密切配合组织各种类型招聘会和在线招聘会，就业工作成绩明显。如机电工程学院的2</w:t>
      </w:r>
      <w:r>
        <w:rPr>
          <w:rFonts w:ascii="仿宋" w:hAnsi="仿宋" w:eastAsia="仿宋"/>
          <w:sz w:val="28"/>
          <w:szCs w:val="28"/>
        </w:rPr>
        <w:t>022</w:t>
      </w:r>
      <w:r>
        <w:rPr>
          <w:rFonts w:hint="eastAsia" w:ascii="仿宋" w:hAnsi="仿宋" w:eastAsia="仿宋"/>
          <w:sz w:val="28"/>
          <w:szCs w:val="28"/>
        </w:rPr>
        <w:t>届毕业生双选会，邀请</w:t>
      </w:r>
      <w:r>
        <w:rPr>
          <w:rFonts w:ascii="仿宋" w:hAnsi="仿宋" w:eastAsia="仿宋"/>
          <w:sz w:val="28"/>
          <w:szCs w:val="28"/>
        </w:rPr>
        <w:t>苏州德创智控科技、苏州微创软件、苏州技泰精密部件、苏州聚力电机、苏州爱恩机械等企业参加。艺术与建筑学院</w:t>
      </w:r>
      <w:r>
        <w:rPr>
          <w:rFonts w:hint="eastAsia" w:ascii="仿宋" w:hAnsi="仿宋" w:eastAsia="仿宋"/>
          <w:sz w:val="28"/>
          <w:szCs w:val="28"/>
        </w:rPr>
        <w:t>的</w:t>
      </w:r>
      <w:r>
        <w:rPr>
          <w:rFonts w:ascii="仿宋" w:hAnsi="仿宋" w:eastAsia="仿宋"/>
          <w:sz w:val="28"/>
          <w:szCs w:val="28"/>
        </w:rPr>
        <w:t>2022届毕业设计展暨企业招聘洽谈会</w:t>
      </w:r>
      <w:r>
        <w:rPr>
          <w:rFonts w:hint="eastAsia" w:ascii="仿宋" w:hAnsi="仿宋" w:eastAsia="仿宋"/>
          <w:sz w:val="28"/>
          <w:szCs w:val="28"/>
        </w:rPr>
        <w:t>，</w:t>
      </w:r>
      <w:r>
        <w:rPr>
          <w:rFonts w:ascii="仿宋" w:hAnsi="仿宋" w:eastAsia="仿宋"/>
          <w:sz w:val="28"/>
          <w:szCs w:val="28"/>
        </w:rPr>
        <w:t>活动源于毕业设计展提前的改革实践，以学生作品为载体，将企业洽谈融入展览，深化人才交流和校企合作共赢。</w:t>
      </w:r>
      <w:r>
        <w:rPr>
          <w:rFonts w:hint="eastAsia" w:ascii="仿宋" w:hAnsi="仿宋" w:eastAsia="仿宋"/>
          <w:sz w:val="28"/>
          <w:szCs w:val="28"/>
        </w:rPr>
        <w:t>根据省高校招生就业指导中心统计，该校2021届毕业生就业率达到98.11%，位于全省同类院校前列。2</w:t>
      </w:r>
      <w:r>
        <w:rPr>
          <w:rFonts w:ascii="仿宋" w:hAnsi="仿宋" w:eastAsia="仿宋"/>
          <w:sz w:val="28"/>
          <w:szCs w:val="28"/>
        </w:rPr>
        <w:t>022</w:t>
      </w:r>
      <w:r>
        <w:rPr>
          <w:rFonts w:hint="eastAsia" w:ascii="仿宋" w:hAnsi="仿宋" w:eastAsia="仿宋"/>
          <w:sz w:val="28"/>
          <w:szCs w:val="28"/>
        </w:rPr>
        <w:t>年学院评审领导小组审议通过，授予朱涛等85名同学“优秀毕业生”荣誉称号。往届优秀毕业生已做出重要成绩，如在江苏亨通工控安全研究院有限公司公司就业的章明飞同学， 在良子影视企业就业的卢晓鸣同学等等。在苏州高新区人社局举办了促进高校毕业生高质就业、助力区产业人才高效集聚“四大行动”启动暨促进新时代人力资源服务产业高质量发展政策发布会上，该校荣获“</w:t>
      </w:r>
      <w:r>
        <w:rPr>
          <w:rFonts w:ascii="仿宋" w:hAnsi="仿宋" w:eastAsia="仿宋"/>
          <w:sz w:val="28"/>
          <w:szCs w:val="28"/>
        </w:rPr>
        <w:t>2022</w:t>
      </w:r>
      <w:r>
        <w:rPr>
          <w:rFonts w:hint="eastAsia" w:ascii="仿宋" w:hAnsi="仿宋" w:eastAsia="仿宋"/>
          <w:sz w:val="28"/>
          <w:szCs w:val="28"/>
        </w:rPr>
        <w:t>年苏州高新区技能人才培养输出示范基地”荣誉称号。</w:t>
      </w:r>
    </w:p>
    <w:p>
      <w:pPr>
        <w:pStyle w:val="3"/>
        <w:spacing w:before="0" w:after="0" w:line="360" w:lineRule="auto"/>
        <w:ind w:firstLine="562" w:firstLineChars="200"/>
        <w:rPr>
          <w:rFonts w:ascii="仿宋_GB2312" w:eastAsia="仿宋_GB2312" w:hAnsiTheme="minorEastAsia"/>
          <w:sz w:val="28"/>
          <w:szCs w:val="28"/>
        </w:rPr>
      </w:pPr>
      <w:bookmarkStart w:id="58" w:name="_Toc533519399"/>
      <w:bookmarkStart w:id="59" w:name="_Toc124087879"/>
      <w:bookmarkStart w:id="60" w:name="_Toc500492279"/>
      <w:bookmarkStart w:id="61" w:name="_Toc532826535"/>
      <w:r>
        <w:rPr>
          <w:rFonts w:hint="eastAsia" w:ascii="仿宋_GB2312" w:eastAsia="仿宋_GB2312" w:hAnsiTheme="minorEastAsia"/>
          <w:sz w:val="28"/>
          <w:szCs w:val="28"/>
        </w:rPr>
        <w:t>1</w:t>
      </w:r>
      <w:r>
        <w:rPr>
          <w:rFonts w:ascii="仿宋_GB2312" w:eastAsia="仿宋_GB2312" w:hAnsiTheme="minorEastAsia"/>
          <w:sz w:val="28"/>
          <w:szCs w:val="28"/>
        </w:rPr>
        <w:t>.4</w:t>
      </w:r>
      <w:r>
        <w:rPr>
          <w:rFonts w:hint="eastAsia" w:ascii="仿宋_GB2312" w:eastAsia="仿宋_GB2312" w:hAnsiTheme="minorEastAsia"/>
          <w:sz w:val="28"/>
          <w:szCs w:val="28"/>
        </w:rPr>
        <w:t>职业发展</w:t>
      </w:r>
      <w:bookmarkEnd w:id="58"/>
      <w:bookmarkEnd w:id="59"/>
      <w:bookmarkEnd w:id="60"/>
      <w:bookmarkEnd w:id="61"/>
    </w:p>
    <w:p>
      <w:pPr>
        <w:adjustRightInd w:val="0"/>
        <w:snapToGrid w:val="0"/>
        <w:spacing w:line="360" w:lineRule="auto"/>
        <w:ind w:firstLine="560" w:firstLineChars="200"/>
        <w:rPr>
          <w:rFonts w:ascii="仿宋" w:hAnsi="仿宋" w:eastAsia="仿宋"/>
          <w:sz w:val="28"/>
          <w:szCs w:val="28"/>
        </w:rPr>
      </w:pPr>
      <w:r>
        <w:rPr>
          <w:rFonts w:ascii="仿宋" w:hAnsi="仿宋" w:eastAsia="仿宋"/>
          <w:sz w:val="28"/>
          <w:szCs w:val="28"/>
        </w:rPr>
        <w:t>该校重视国家职业技能认证，积极</w:t>
      </w:r>
      <w:r>
        <w:rPr>
          <w:rFonts w:hint="eastAsia" w:ascii="仿宋" w:hAnsi="仿宋" w:eastAsia="仿宋"/>
          <w:sz w:val="28"/>
          <w:szCs w:val="28"/>
        </w:rPr>
        <w:t xml:space="preserve">推动课证融通，推进 </w:t>
      </w:r>
      <w:bookmarkStart w:id="62" w:name="_Hlk120779718"/>
      <w:r>
        <w:rPr>
          <w:rFonts w:hint="eastAsia" w:ascii="仿宋" w:hAnsi="仿宋" w:eastAsia="仿宋"/>
          <w:sz w:val="28"/>
          <w:szCs w:val="28"/>
        </w:rPr>
        <w:t>“1+X”证书</w:t>
      </w:r>
      <w:bookmarkEnd w:id="62"/>
      <w:r>
        <w:rPr>
          <w:rFonts w:hint="eastAsia" w:ascii="仿宋" w:hAnsi="仿宋" w:eastAsia="仿宋"/>
          <w:sz w:val="28"/>
          <w:szCs w:val="28"/>
        </w:rPr>
        <w:t>制度进程，在学校所建的国家职业技能鉴定所和各二级学院的共同推进下，不断强化并提升职业技能证书培训质量及获证率。</w:t>
      </w:r>
      <w:r>
        <w:rPr>
          <w:rFonts w:ascii="仿宋" w:hAnsi="仿宋" w:eastAsia="仿宋"/>
          <w:sz w:val="28"/>
          <w:szCs w:val="28"/>
        </w:rPr>
        <w:t xml:space="preserve"> 202</w:t>
      </w:r>
      <w:r>
        <w:rPr>
          <w:rFonts w:hint="eastAsia" w:ascii="仿宋" w:hAnsi="仿宋" w:eastAsia="仿宋"/>
          <w:sz w:val="28"/>
          <w:szCs w:val="28"/>
        </w:rPr>
        <w:t>1</w:t>
      </w:r>
      <w:r>
        <w:rPr>
          <w:rFonts w:ascii="仿宋" w:hAnsi="仿宋" w:eastAsia="仿宋"/>
          <w:sz w:val="28"/>
          <w:szCs w:val="28"/>
        </w:rPr>
        <w:t>-2022</w:t>
      </w:r>
      <w:r>
        <w:rPr>
          <w:rFonts w:hint="eastAsia" w:ascii="仿宋" w:hAnsi="仿宋" w:eastAsia="仿宋"/>
          <w:sz w:val="28"/>
          <w:szCs w:val="28"/>
        </w:rPr>
        <w:t>学</w:t>
      </w:r>
      <w:r>
        <w:rPr>
          <w:rFonts w:ascii="仿宋" w:hAnsi="仿宋" w:eastAsia="仿宋"/>
          <w:sz w:val="28"/>
          <w:szCs w:val="28"/>
        </w:rPr>
        <w:t>年组织学生参加</w:t>
      </w:r>
      <w:r>
        <w:rPr>
          <w:rFonts w:hint="eastAsia" w:ascii="仿宋" w:hAnsi="仿宋" w:eastAsia="仿宋"/>
          <w:sz w:val="28"/>
          <w:szCs w:val="28"/>
        </w:rPr>
        <w:t>护士、游泳救生员等5项职业资格考试，近百人考取证书；组织工业和信息化人才专业知识测评、轨道交通运营管理、室内设计师、</w:t>
      </w:r>
      <w:r>
        <w:rPr>
          <w:rFonts w:ascii="仿宋" w:hAnsi="仿宋" w:eastAsia="仿宋"/>
          <w:sz w:val="28"/>
          <w:szCs w:val="28"/>
        </w:rPr>
        <w:t>AutoCAD机械设计</w:t>
      </w:r>
      <w:r>
        <w:rPr>
          <w:rFonts w:hint="eastAsia" w:ascii="仿宋" w:hAnsi="仿宋" w:eastAsia="仿宋"/>
          <w:sz w:val="28"/>
          <w:szCs w:val="28"/>
        </w:rPr>
        <w:t>、三维动画设计师、全国信息化工程师</w:t>
      </w:r>
      <w:r>
        <w:rPr>
          <w:rFonts w:ascii="仿宋" w:hAnsi="仿宋" w:eastAsia="仿宋"/>
          <w:sz w:val="28"/>
          <w:szCs w:val="28"/>
        </w:rPr>
        <w:t>ERP资格证</w:t>
      </w:r>
      <w:r>
        <w:rPr>
          <w:rFonts w:hint="eastAsia" w:ascii="仿宋" w:hAnsi="仿宋" w:eastAsia="仿宋"/>
          <w:sz w:val="28"/>
          <w:szCs w:val="28"/>
        </w:rPr>
        <w:t>、救护员和育婴师等1</w:t>
      </w:r>
      <w:r>
        <w:rPr>
          <w:rFonts w:ascii="仿宋" w:hAnsi="仿宋" w:eastAsia="仿宋"/>
          <w:sz w:val="28"/>
          <w:szCs w:val="28"/>
        </w:rPr>
        <w:t>9</w:t>
      </w:r>
      <w:r>
        <w:rPr>
          <w:rFonts w:hint="eastAsia" w:ascii="仿宋" w:hAnsi="仿宋" w:eastAsia="仿宋"/>
          <w:sz w:val="28"/>
          <w:szCs w:val="28"/>
        </w:rPr>
        <w:t>项职业技能证书考评，获取证书1</w:t>
      </w:r>
      <w:r>
        <w:rPr>
          <w:rFonts w:ascii="仿宋" w:hAnsi="仿宋" w:eastAsia="仿宋"/>
          <w:sz w:val="28"/>
          <w:szCs w:val="28"/>
        </w:rPr>
        <w:t>362</w:t>
      </w:r>
      <w:r>
        <w:rPr>
          <w:rFonts w:hint="eastAsia" w:ascii="仿宋" w:hAnsi="仿宋" w:eastAsia="仿宋"/>
          <w:sz w:val="28"/>
          <w:szCs w:val="28"/>
        </w:rPr>
        <w:t>人次。特别是该校</w:t>
      </w:r>
      <w:r>
        <w:rPr>
          <w:rFonts w:ascii="仿宋" w:hAnsi="仿宋" w:eastAsia="仿宋"/>
          <w:sz w:val="28"/>
          <w:szCs w:val="28"/>
        </w:rPr>
        <w:t>各二级学院积极推进</w:t>
      </w:r>
      <w:r>
        <w:rPr>
          <w:rFonts w:hint="eastAsia" w:ascii="仿宋" w:hAnsi="仿宋" w:eastAsia="仿宋"/>
          <w:sz w:val="28"/>
          <w:szCs w:val="28"/>
        </w:rPr>
        <w:t>的“1+X”证书试点工作成效明显（见表1.2），为该校的人才培养和技能认证拓展了更大空间。</w:t>
      </w:r>
    </w:p>
    <w:p>
      <w:pPr>
        <w:widowControl/>
        <w:spacing w:line="360" w:lineRule="auto"/>
        <w:ind w:firstLine="482" w:firstLineChars="200"/>
        <w:jc w:val="center"/>
        <w:rPr>
          <w:rFonts w:ascii="仿宋_GB2312" w:eastAsia="仿宋_GB2312" w:hAnsiTheme="minorEastAsia"/>
          <w:b/>
          <w:sz w:val="24"/>
          <w:szCs w:val="24"/>
        </w:rPr>
      </w:pPr>
      <w:bookmarkStart w:id="63" w:name="_Hlk124256836"/>
      <w:bookmarkStart w:id="64" w:name="_Toc124170424"/>
      <w:bookmarkStart w:id="65" w:name="_Toc124170661"/>
      <w:bookmarkStart w:id="66" w:name="_Hlk121990325"/>
      <w:r>
        <w:rPr>
          <w:rFonts w:hint="eastAsia" w:ascii="仿宋_GB2312" w:eastAsia="仿宋_GB2312" w:hAnsiTheme="minorEastAsia"/>
          <w:b/>
          <w:sz w:val="24"/>
          <w:szCs w:val="24"/>
        </w:rPr>
        <w:t xml:space="preserve">表1. </w:t>
      </w:r>
      <w:r>
        <w:rPr>
          <w:rFonts w:ascii="仿宋_GB2312" w:eastAsia="仿宋_GB2312" w:hAnsiTheme="minorEastAsia"/>
          <w:b/>
          <w:sz w:val="24"/>
          <w:szCs w:val="24"/>
        </w:rPr>
        <w:fldChar w:fldCharType="begin"/>
      </w:r>
      <w:r>
        <w:rPr>
          <w:rFonts w:ascii="仿宋_GB2312" w:eastAsia="仿宋_GB2312" w:hAnsiTheme="minorEastAsia"/>
          <w:b/>
          <w:sz w:val="24"/>
          <w:szCs w:val="24"/>
        </w:rPr>
        <w:instrText xml:space="preserve"> </w:instrText>
      </w:r>
      <w:r>
        <w:rPr>
          <w:rFonts w:hint="eastAsia" w:ascii="仿宋_GB2312" w:eastAsia="仿宋_GB2312" w:hAnsiTheme="minorEastAsia"/>
          <w:b/>
          <w:sz w:val="24"/>
          <w:szCs w:val="24"/>
        </w:rPr>
        <w:instrText xml:space="preserve">SEQ 表1. \* ARABIC</w:instrText>
      </w:r>
      <w:r>
        <w:rPr>
          <w:rFonts w:ascii="仿宋_GB2312" w:eastAsia="仿宋_GB2312" w:hAnsiTheme="minorEastAsia"/>
          <w:b/>
          <w:sz w:val="24"/>
          <w:szCs w:val="24"/>
        </w:rPr>
        <w:instrText xml:space="preserve"> </w:instrText>
      </w:r>
      <w:r>
        <w:rPr>
          <w:rFonts w:ascii="仿宋_GB2312" w:eastAsia="仿宋_GB2312" w:hAnsiTheme="minorEastAsia"/>
          <w:b/>
          <w:sz w:val="24"/>
          <w:szCs w:val="24"/>
        </w:rPr>
        <w:fldChar w:fldCharType="separate"/>
      </w:r>
      <w:r>
        <w:rPr>
          <w:rFonts w:ascii="仿宋_GB2312" w:eastAsia="仿宋_GB2312" w:hAnsiTheme="minorEastAsia"/>
          <w:b/>
          <w:sz w:val="24"/>
          <w:szCs w:val="24"/>
        </w:rPr>
        <w:t>2</w:t>
      </w:r>
      <w:r>
        <w:rPr>
          <w:rFonts w:ascii="仿宋_GB2312" w:eastAsia="仿宋_GB2312" w:hAnsiTheme="minorEastAsia"/>
          <w:b/>
          <w:sz w:val="24"/>
          <w:szCs w:val="24"/>
        </w:rPr>
        <w:fldChar w:fldCharType="end"/>
      </w:r>
      <w:bookmarkEnd w:id="63"/>
      <w:r>
        <w:rPr>
          <w:rFonts w:ascii="仿宋_GB2312" w:eastAsia="仿宋_GB2312" w:hAnsiTheme="minorEastAsia"/>
          <w:b/>
          <w:sz w:val="24"/>
          <w:szCs w:val="24"/>
        </w:rPr>
        <w:t>“1+X”</w:t>
      </w:r>
      <w:r>
        <w:rPr>
          <w:rFonts w:hint="eastAsia" w:ascii="仿宋_GB2312" w:eastAsia="仿宋_GB2312" w:hAnsiTheme="minorEastAsia"/>
          <w:b/>
          <w:sz w:val="24"/>
          <w:szCs w:val="24"/>
        </w:rPr>
        <w:t>证书试点进展情况</w:t>
      </w:r>
      <w:bookmarkEnd w:id="64"/>
      <w:bookmarkEnd w:id="65"/>
    </w:p>
    <w:bookmarkEnd w:id="66"/>
    <w:tbl>
      <w:tblPr>
        <w:tblStyle w:val="62"/>
        <w:tblW w:w="5000" w:type="pct"/>
        <w:tblInd w:w="0" w:type="dxa"/>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Layout w:type="fixed"/>
        <w:tblCellMar>
          <w:top w:w="0" w:type="dxa"/>
          <w:left w:w="108" w:type="dxa"/>
          <w:bottom w:w="0" w:type="dxa"/>
          <w:right w:w="108" w:type="dxa"/>
        </w:tblCellMar>
      </w:tblPr>
      <w:tblGrid>
        <w:gridCol w:w="2665"/>
        <w:gridCol w:w="3254"/>
        <w:gridCol w:w="1419"/>
        <w:gridCol w:w="1275"/>
        <w:gridCol w:w="1242"/>
      </w:tblGrid>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967" w:hRule="atLeast"/>
        </w:trPr>
        <w:tc>
          <w:tcPr>
            <w:tcW w:w="1352" w:type="pct"/>
            <w:tcBorders>
              <w:top w:val="single" w:color="CCE8CF" w:themeColor="background1" w:sz="4" w:space="0"/>
              <w:left w:val="single" w:color="CCE8CF" w:themeColor="background1" w:sz="4" w:space="0"/>
              <w:right w:val="nil"/>
              <w:insideV w:val="nil"/>
            </w:tcBorders>
            <w:shd w:val="clear" w:color="auto" w:fill="5B9BD5" w:themeFill="accent5"/>
            <w:vAlign w:val="center"/>
          </w:tcPr>
          <w:p>
            <w:pPr>
              <w:widowControl/>
              <w:jc w:val="center"/>
              <w:rPr>
                <w:rFonts w:ascii="仿宋" w:hAnsi="仿宋" w:eastAsia="仿宋" w:cs="宋体"/>
                <w:b/>
                <w:bCs/>
                <w:color w:val="FFFFFF"/>
                <w:kern w:val="0"/>
                <w:sz w:val="24"/>
                <w:szCs w:val="24"/>
              </w:rPr>
            </w:pPr>
            <w:r>
              <w:rPr>
                <w:rFonts w:hint="eastAsia" w:ascii="仿宋" w:hAnsi="仿宋" w:eastAsia="仿宋" w:cs="宋体"/>
                <w:b/>
                <w:bCs/>
                <w:color w:val="FFFFFF"/>
                <w:kern w:val="0"/>
                <w:sz w:val="24"/>
                <w:szCs w:val="24"/>
              </w:rPr>
              <w:t>证书名称</w:t>
            </w:r>
          </w:p>
        </w:tc>
        <w:tc>
          <w:tcPr>
            <w:tcW w:w="1651" w:type="pct"/>
            <w:tcBorders>
              <w:top w:val="single" w:color="CCE8CF" w:themeColor="background1" w:sz="4" w:space="0"/>
              <w:right w:val="nil"/>
              <w:insideV w:val="nil"/>
            </w:tcBorders>
            <w:shd w:val="clear" w:color="auto" w:fill="5B9BD5" w:themeFill="accent5"/>
            <w:vAlign w:val="center"/>
          </w:tcPr>
          <w:p>
            <w:pPr>
              <w:widowControl/>
              <w:jc w:val="center"/>
              <w:rPr>
                <w:rFonts w:ascii="仿宋" w:hAnsi="仿宋" w:eastAsia="仿宋" w:cs="宋体"/>
                <w:b/>
                <w:bCs/>
                <w:color w:val="FFFFFF"/>
                <w:kern w:val="0"/>
                <w:sz w:val="24"/>
                <w:szCs w:val="24"/>
              </w:rPr>
            </w:pPr>
            <w:r>
              <w:rPr>
                <w:rFonts w:hint="eastAsia" w:ascii="仿宋" w:hAnsi="仿宋" w:eastAsia="仿宋" w:cs="宋体"/>
                <w:b/>
                <w:bCs/>
                <w:color w:val="FFFFFF"/>
                <w:kern w:val="0"/>
                <w:sz w:val="24"/>
                <w:szCs w:val="24"/>
              </w:rPr>
              <w:t>颁发单位名称</w:t>
            </w:r>
          </w:p>
        </w:tc>
        <w:tc>
          <w:tcPr>
            <w:tcW w:w="720" w:type="pct"/>
            <w:tcBorders>
              <w:top w:val="single" w:color="CCE8CF" w:themeColor="background1" w:sz="4" w:space="0"/>
              <w:right w:val="nil"/>
              <w:insideV w:val="nil"/>
            </w:tcBorders>
            <w:shd w:val="clear" w:color="auto" w:fill="5B9BD5" w:themeFill="accent5"/>
            <w:vAlign w:val="center"/>
          </w:tcPr>
          <w:p>
            <w:pPr>
              <w:widowControl/>
              <w:jc w:val="center"/>
              <w:rPr>
                <w:rFonts w:ascii="仿宋" w:hAnsi="仿宋" w:eastAsia="仿宋" w:cs="宋体"/>
                <w:b/>
                <w:bCs/>
                <w:color w:val="FFFFFF"/>
                <w:kern w:val="0"/>
                <w:sz w:val="24"/>
                <w:szCs w:val="24"/>
              </w:rPr>
            </w:pPr>
            <w:r>
              <w:rPr>
                <w:rFonts w:hint="eastAsia" w:ascii="仿宋" w:hAnsi="仿宋" w:eastAsia="仿宋" w:cs="宋体"/>
                <w:b/>
                <w:bCs/>
                <w:color w:val="FFFFFF"/>
                <w:kern w:val="0"/>
                <w:sz w:val="24"/>
                <w:szCs w:val="24"/>
              </w:rPr>
              <w:t>获批日期（年月）</w:t>
            </w:r>
          </w:p>
        </w:tc>
        <w:tc>
          <w:tcPr>
            <w:tcW w:w="647" w:type="pct"/>
            <w:tcBorders>
              <w:top w:val="single" w:color="CCE8CF" w:themeColor="background1" w:sz="4" w:space="0"/>
              <w:right w:val="nil"/>
              <w:insideV w:val="nil"/>
            </w:tcBorders>
            <w:shd w:val="clear" w:color="auto" w:fill="5B9BD5" w:themeFill="accent5"/>
            <w:vAlign w:val="center"/>
          </w:tcPr>
          <w:p>
            <w:pPr>
              <w:widowControl/>
              <w:jc w:val="center"/>
              <w:rPr>
                <w:rFonts w:ascii="仿宋" w:hAnsi="仿宋" w:eastAsia="仿宋" w:cs="宋体"/>
                <w:b/>
                <w:bCs/>
                <w:color w:val="FFFFFF"/>
                <w:kern w:val="0"/>
                <w:sz w:val="24"/>
                <w:szCs w:val="24"/>
              </w:rPr>
            </w:pPr>
            <w:r>
              <w:rPr>
                <w:rFonts w:hint="eastAsia" w:ascii="仿宋" w:hAnsi="仿宋" w:eastAsia="仿宋" w:cs="宋体"/>
                <w:b/>
                <w:bCs/>
                <w:color w:val="FFFFFF"/>
                <w:kern w:val="0"/>
                <w:sz w:val="24"/>
                <w:szCs w:val="24"/>
              </w:rPr>
              <w:t>参考学生（人）</w:t>
            </w:r>
          </w:p>
        </w:tc>
        <w:tc>
          <w:tcPr>
            <w:tcW w:w="630" w:type="pct"/>
            <w:tcBorders>
              <w:top w:val="single" w:color="CCE8CF" w:themeColor="background1" w:sz="4" w:space="0"/>
              <w:right w:val="single" w:color="CCE8CF" w:themeColor="background1" w:sz="4" w:space="0"/>
              <w:insideV w:val="nil"/>
            </w:tcBorders>
            <w:shd w:val="clear" w:color="auto" w:fill="5B9BD5" w:themeFill="accent5"/>
            <w:vAlign w:val="center"/>
          </w:tcPr>
          <w:p>
            <w:pPr>
              <w:widowControl/>
              <w:jc w:val="center"/>
              <w:rPr>
                <w:rFonts w:ascii="仿宋" w:hAnsi="仿宋" w:eastAsia="仿宋" w:cs="宋体"/>
                <w:b/>
                <w:bCs/>
                <w:color w:val="FFFFFF"/>
                <w:kern w:val="0"/>
                <w:sz w:val="24"/>
                <w:szCs w:val="24"/>
              </w:rPr>
            </w:pPr>
            <w:r>
              <w:rPr>
                <w:rFonts w:hint="eastAsia" w:ascii="仿宋" w:hAnsi="仿宋" w:eastAsia="仿宋" w:cs="宋体"/>
                <w:b/>
                <w:bCs/>
                <w:color w:val="FFFFFF"/>
                <w:kern w:val="0"/>
                <w:sz w:val="24"/>
                <w:szCs w:val="24"/>
              </w:rPr>
              <w:t>获证学生（人）</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1352" w:type="pct"/>
            <w:tcBorders>
              <w:left w:val="single" w:color="CCE8CF" w:themeColor="background1" w:sz="4" w:space="0"/>
            </w:tcBorders>
            <w:shd w:val="clear" w:color="auto" w:fill="5B9BD5" w:themeFill="accent5"/>
            <w:noWrap/>
          </w:tcPr>
          <w:p>
            <w:pPr>
              <w:widowControl/>
              <w:jc w:val="center"/>
              <w:rPr>
                <w:rFonts w:ascii="仿宋" w:hAnsi="仿宋" w:eastAsia="仿宋" w:cs="宋体"/>
                <w:b w:val="0"/>
                <w:bCs w:val="0"/>
                <w:color w:val="CCE8CF" w:themeColor="background1"/>
                <w:kern w:val="0"/>
                <w:sz w:val="24"/>
                <w:szCs w:val="24"/>
              </w:rPr>
            </w:pPr>
            <w:r>
              <w:rPr>
                <w:rFonts w:hint="eastAsia" w:ascii="仿宋" w:hAnsi="仿宋" w:eastAsia="仿宋" w:cs="宋体"/>
                <w:b/>
                <w:bCs/>
                <w:color w:val="CCE8CF" w:themeColor="background1"/>
                <w:kern w:val="0"/>
                <w:sz w:val="24"/>
                <w:szCs w:val="24"/>
              </w:rPr>
              <w:t>Web前端开发职业技能等级证书</w:t>
            </w:r>
          </w:p>
        </w:tc>
        <w:tc>
          <w:tcPr>
            <w:tcW w:w="1651" w:type="pct"/>
            <w:shd w:val="clear" w:color="auto" w:fill="BDD6EE" w:themeFill="accent5" w:themeFillTint="66"/>
            <w:noWrap/>
            <w:vAlign w:val="center"/>
          </w:tcPr>
          <w:p>
            <w:pPr>
              <w:widowControl/>
              <w:jc w:val="center"/>
              <w:rPr>
                <w:rFonts w:ascii="仿宋" w:hAnsi="仿宋" w:eastAsia="仿宋" w:cs="宋体"/>
                <w:kern w:val="0"/>
                <w:sz w:val="24"/>
                <w:szCs w:val="24"/>
              </w:rPr>
            </w:pPr>
            <w:r>
              <w:rPr>
                <w:rFonts w:hint="eastAsia" w:ascii="仿宋" w:hAnsi="仿宋" w:eastAsia="仿宋" w:cs="宋体"/>
                <w:kern w:val="0"/>
                <w:sz w:val="24"/>
                <w:szCs w:val="24"/>
              </w:rPr>
              <w:t>工业和信息化部教育与考试中心</w:t>
            </w:r>
          </w:p>
        </w:tc>
        <w:tc>
          <w:tcPr>
            <w:tcW w:w="720" w:type="pct"/>
            <w:shd w:val="clear" w:color="auto" w:fill="BDD6EE" w:themeFill="accent5" w:themeFillTint="66"/>
            <w:noWrap/>
            <w:vAlign w:val="center"/>
          </w:tcPr>
          <w:p>
            <w:pPr>
              <w:widowControl/>
              <w:jc w:val="center"/>
              <w:rPr>
                <w:rFonts w:ascii="仿宋" w:hAnsi="仿宋" w:eastAsia="仿宋" w:cs="宋体"/>
                <w:kern w:val="0"/>
                <w:sz w:val="24"/>
                <w:szCs w:val="24"/>
              </w:rPr>
            </w:pPr>
            <w:r>
              <w:rPr>
                <w:rFonts w:hint="eastAsia" w:ascii="仿宋" w:hAnsi="仿宋" w:eastAsia="仿宋" w:cs="宋体"/>
                <w:kern w:val="0"/>
                <w:sz w:val="24"/>
                <w:szCs w:val="24"/>
              </w:rPr>
              <w:t>2021-03</w:t>
            </w:r>
          </w:p>
        </w:tc>
        <w:tc>
          <w:tcPr>
            <w:tcW w:w="647" w:type="pct"/>
            <w:shd w:val="clear" w:color="auto" w:fill="BDD6EE" w:themeFill="accent5" w:themeFillTint="66"/>
            <w:noWrap/>
            <w:vAlign w:val="center"/>
          </w:tcPr>
          <w:p>
            <w:pPr>
              <w:widowControl/>
              <w:jc w:val="center"/>
              <w:rPr>
                <w:rFonts w:ascii="仿宋" w:hAnsi="仿宋" w:eastAsia="仿宋" w:cs="宋体"/>
                <w:kern w:val="0"/>
                <w:sz w:val="24"/>
                <w:szCs w:val="24"/>
              </w:rPr>
            </w:pPr>
            <w:r>
              <w:rPr>
                <w:rFonts w:hint="eastAsia" w:ascii="仿宋" w:hAnsi="仿宋" w:eastAsia="仿宋" w:cs="宋体"/>
                <w:kern w:val="0"/>
                <w:sz w:val="24"/>
                <w:szCs w:val="24"/>
              </w:rPr>
              <w:t>23</w:t>
            </w:r>
          </w:p>
        </w:tc>
        <w:tc>
          <w:tcPr>
            <w:tcW w:w="630" w:type="pct"/>
            <w:shd w:val="clear" w:color="auto" w:fill="BDD6EE" w:themeFill="accent5" w:themeFillTint="66"/>
            <w:noWrap/>
            <w:vAlign w:val="center"/>
          </w:tcPr>
          <w:p>
            <w:pPr>
              <w:widowControl/>
              <w:jc w:val="center"/>
              <w:rPr>
                <w:rFonts w:ascii="仿宋" w:hAnsi="仿宋" w:eastAsia="仿宋" w:cs="宋体"/>
                <w:kern w:val="0"/>
                <w:sz w:val="24"/>
                <w:szCs w:val="24"/>
              </w:rPr>
            </w:pPr>
            <w:r>
              <w:rPr>
                <w:rFonts w:hint="eastAsia" w:ascii="仿宋" w:hAnsi="仿宋" w:eastAsia="仿宋" w:cs="宋体"/>
                <w:kern w:val="0"/>
                <w:sz w:val="24"/>
                <w:szCs w:val="24"/>
              </w:rPr>
              <w:t>23</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1352" w:type="pct"/>
            <w:tcBorders>
              <w:left w:val="single" w:color="CCE8CF" w:themeColor="background1" w:sz="4" w:space="0"/>
            </w:tcBorders>
            <w:shd w:val="clear" w:color="auto" w:fill="5B9BD5" w:themeFill="accent5"/>
            <w:noWrap/>
          </w:tcPr>
          <w:p>
            <w:pPr>
              <w:widowControl/>
              <w:jc w:val="center"/>
              <w:rPr>
                <w:rFonts w:ascii="仿宋" w:hAnsi="仿宋" w:eastAsia="仿宋" w:cs="宋体"/>
                <w:b w:val="0"/>
                <w:bCs w:val="0"/>
                <w:color w:val="CCE8CF" w:themeColor="background1"/>
                <w:kern w:val="0"/>
                <w:sz w:val="24"/>
                <w:szCs w:val="24"/>
              </w:rPr>
            </w:pPr>
            <w:r>
              <w:rPr>
                <w:rFonts w:hint="eastAsia" w:ascii="仿宋" w:hAnsi="仿宋" w:eastAsia="仿宋" w:cs="宋体"/>
                <w:b/>
                <w:bCs/>
                <w:color w:val="CCE8CF" w:themeColor="background1"/>
                <w:kern w:val="0"/>
                <w:sz w:val="24"/>
                <w:szCs w:val="24"/>
              </w:rPr>
              <w:t>业财一体信息化应用职业技能等级证书</w:t>
            </w:r>
          </w:p>
        </w:tc>
        <w:tc>
          <w:tcPr>
            <w:tcW w:w="1651" w:type="pct"/>
            <w:shd w:val="clear" w:color="auto" w:fill="DEEAF6" w:themeFill="accent5" w:themeFillTint="33"/>
            <w:noWrap/>
            <w:vAlign w:val="center"/>
          </w:tcPr>
          <w:p>
            <w:pPr>
              <w:widowControl/>
              <w:jc w:val="center"/>
              <w:rPr>
                <w:rFonts w:ascii="仿宋" w:hAnsi="仿宋" w:eastAsia="仿宋" w:cs="宋体"/>
                <w:kern w:val="0"/>
                <w:sz w:val="24"/>
                <w:szCs w:val="24"/>
              </w:rPr>
            </w:pPr>
            <w:r>
              <w:rPr>
                <w:rFonts w:hint="eastAsia" w:ascii="仿宋" w:hAnsi="仿宋" w:eastAsia="仿宋" w:cs="宋体"/>
                <w:kern w:val="0"/>
                <w:sz w:val="24"/>
                <w:szCs w:val="24"/>
              </w:rPr>
              <w:t>新道科技股份有限公司</w:t>
            </w:r>
          </w:p>
        </w:tc>
        <w:tc>
          <w:tcPr>
            <w:tcW w:w="720" w:type="pct"/>
            <w:shd w:val="clear" w:color="auto" w:fill="DEEAF6" w:themeFill="accent5" w:themeFillTint="33"/>
            <w:noWrap/>
            <w:vAlign w:val="center"/>
          </w:tcPr>
          <w:p>
            <w:pPr>
              <w:widowControl/>
              <w:jc w:val="center"/>
              <w:rPr>
                <w:rFonts w:ascii="仿宋" w:hAnsi="仿宋" w:eastAsia="仿宋" w:cs="宋体"/>
                <w:kern w:val="0"/>
                <w:sz w:val="24"/>
                <w:szCs w:val="24"/>
              </w:rPr>
            </w:pPr>
            <w:r>
              <w:rPr>
                <w:rFonts w:hint="eastAsia" w:ascii="仿宋" w:hAnsi="仿宋" w:eastAsia="仿宋" w:cs="宋体"/>
                <w:kern w:val="0"/>
                <w:sz w:val="24"/>
                <w:szCs w:val="24"/>
              </w:rPr>
              <w:t>2022-04</w:t>
            </w:r>
          </w:p>
        </w:tc>
        <w:tc>
          <w:tcPr>
            <w:tcW w:w="647" w:type="pct"/>
            <w:shd w:val="clear" w:color="auto" w:fill="DEEAF6" w:themeFill="accent5" w:themeFillTint="33"/>
            <w:noWrap/>
            <w:vAlign w:val="center"/>
          </w:tcPr>
          <w:p>
            <w:pPr>
              <w:widowControl/>
              <w:jc w:val="center"/>
              <w:rPr>
                <w:rFonts w:ascii="仿宋" w:hAnsi="仿宋" w:eastAsia="仿宋" w:cs="宋体"/>
                <w:kern w:val="0"/>
                <w:sz w:val="24"/>
                <w:szCs w:val="24"/>
              </w:rPr>
            </w:pPr>
            <w:r>
              <w:rPr>
                <w:rFonts w:ascii="仿宋" w:hAnsi="仿宋" w:eastAsia="仿宋" w:cs="宋体"/>
                <w:kern w:val="0"/>
                <w:sz w:val="24"/>
                <w:szCs w:val="24"/>
              </w:rPr>
              <w:t>62</w:t>
            </w:r>
          </w:p>
        </w:tc>
        <w:tc>
          <w:tcPr>
            <w:tcW w:w="630" w:type="pct"/>
            <w:shd w:val="clear" w:color="auto" w:fill="DEEAF6" w:themeFill="accent5" w:themeFillTint="33"/>
            <w:noWrap/>
            <w:vAlign w:val="center"/>
          </w:tcPr>
          <w:p>
            <w:pPr>
              <w:widowControl/>
              <w:jc w:val="center"/>
              <w:rPr>
                <w:rFonts w:ascii="仿宋" w:hAnsi="仿宋" w:eastAsia="仿宋" w:cs="宋体"/>
                <w:kern w:val="0"/>
                <w:sz w:val="24"/>
                <w:szCs w:val="24"/>
              </w:rPr>
            </w:pPr>
            <w:r>
              <w:rPr>
                <w:rFonts w:ascii="仿宋" w:hAnsi="仿宋" w:eastAsia="仿宋" w:cs="宋体"/>
                <w:kern w:val="0"/>
                <w:sz w:val="24"/>
                <w:szCs w:val="24"/>
              </w:rPr>
              <w:t>39</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1352" w:type="pct"/>
            <w:tcBorders>
              <w:left w:val="single" w:color="CCE8CF" w:themeColor="background1" w:sz="4" w:space="0"/>
            </w:tcBorders>
            <w:shd w:val="clear" w:color="auto" w:fill="5B9BD5" w:themeFill="accent5"/>
            <w:noWrap/>
          </w:tcPr>
          <w:p>
            <w:pPr>
              <w:widowControl/>
              <w:jc w:val="center"/>
              <w:rPr>
                <w:rFonts w:ascii="仿宋" w:hAnsi="仿宋" w:eastAsia="仿宋" w:cs="宋体"/>
                <w:b w:val="0"/>
                <w:bCs w:val="0"/>
                <w:color w:val="CCE8CF" w:themeColor="background1"/>
                <w:kern w:val="0"/>
                <w:sz w:val="24"/>
                <w:szCs w:val="24"/>
              </w:rPr>
            </w:pPr>
            <w:r>
              <w:rPr>
                <w:rFonts w:hint="eastAsia" w:ascii="仿宋" w:hAnsi="仿宋" w:eastAsia="仿宋" w:cs="宋体"/>
                <w:b/>
                <w:bCs/>
                <w:color w:val="CCE8CF" w:themeColor="background1"/>
                <w:kern w:val="0"/>
                <w:sz w:val="24"/>
                <w:szCs w:val="24"/>
              </w:rPr>
              <w:t>网店运营推广职业技能等级证书</w:t>
            </w:r>
          </w:p>
        </w:tc>
        <w:tc>
          <w:tcPr>
            <w:tcW w:w="1651" w:type="pct"/>
            <w:shd w:val="clear" w:color="auto" w:fill="BDD6EE" w:themeFill="accent5" w:themeFillTint="66"/>
            <w:noWrap/>
            <w:vAlign w:val="center"/>
          </w:tcPr>
          <w:p>
            <w:pPr>
              <w:widowControl/>
              <w:jc w:val="center"/>
              <w:rPr>
                <w:rFonts w:ascii="仿宋" w:hAnsi="仿宋" w:eastAsia="仿宋" w:cs="宋体"/>
                <w:kern w:val="0"/>
                <w:sz w:val="24"/>
                <w:szCs w:val="24"/>
              </w:rPr>
            </w:pPr>
            <w:r>
              <w:rPr>
                <w:rFonts w:hint="eastAsia" w:ascii="仿宋" w:hAnsi="仿宋" w:eastAsia="仿宋" w:cs="宋体"/>
                <w:kern w:val="0"/>
                <w:sz w:val="24"/>
                <w:szCs w:val="24"/>
              </w:rPr>
              <w:t>北京鸿科经纬科技有限公司</w:t>
            </w:r>
          </w:p>
        </w:tc>
        <w:tc>
          <w:tcPr>
            <w:tcW w:w="720" w:type="pct"/>
            <w:shd w:val="clear" w:color="auto" w:fill="BDD6EE" w:themeFill="accent5" w:themeFillTint="66"/>
            <w:noWrap/>
            <w:vAlign w:val="center"/>
          </w:tcPr>
          <w:p>
            <w:pPr>
              <w:widowControl/>
              <w:jc w:val="center"/>
              <w:rPr>
                <w:rFonts w:ascii="仿宋" w:hAnsi="仿宋" w:eastAsia="仿宋" w:cs="宋体"/>
                <w:kern w:val="0"/>
                <w:sz w:val="24"/>
                <w:szCs w:val="24"/>
              </w:rPr>
            </w:pPr>
            <w:r>
              <w:rPr>
                <w:rFonts w:hint="eastAsia" w:ascii="仿宋" w:hAnsi="仿宋" w:eastAsia="仿宋" w:cs="宋体"/>
                <w:kern w:val="0"/>
                <w:sz w:val="24"/>
                <w:szCs w:val="24"/>
              </w:rPr>
              <w:t>2022-06</w:t>
            </w:r>
          </w:p>
        </w:tc>
        <w:tc>
          <w:tcPr>
            <w:tcW w:w="647" w:type="pct"/>
            <w:shd w:val="clear" w:color="auto" w:fill="BDD6EE" w:themeFill="accent5" w:themeFillTint="66"/>
            <w:noWrap/>
            <w:vAlign w:val="center"/>
          </w:tcPr>
          <w:p>
            <w:pPr>
              <w:widowControl/>
              <w:jc w:val="center"/>
              <w:rPr>
                <w:rFonts w:ascii="仿宋" w:hAnsi="仿宋" w:eastAsia="仿宋" w:cs="宋体"/>
                <w:kern w:val="0"/>
                <w:sz w:val="24"/>
                <w:szCs w:val="24"/>
              </w:rPr>
            </w:pPr>
            <w:r>
              <w:rPr>
                <w:rFonts w:hint="eastAsia" w:ascii="仿宋" w:hAnsi="仿宋" w:eastAsia="仿宋" w:cs="宋体"/>
                <w:kern w:val="0"/>
                <w:sz w:val="24"/>
                <w:szCs w:val="24"/>
              </w:rPr>
              <w:t>35</w:t>
            </w:r>
          </w:p>
        </w:tc>
        <w:tc>
          <w:tcPr>
            <w:tcW w:w="630" w:type="pct"/>
            <w:shd w:val="clear" w:color="auto" w:fill="BDD6EE" w:themeFill="accent5" w:themeFillTint="66"/>
            <w:noWrap/>
            <w:vAlign w:val="center"/>
          </w:tcPr>
          <w:p>
            <w:pPr>
              <w:widowControl/>
              <w:jc w:val="center"/>
              <w:rPr>
                <w:rFonts w:ascii="仿宋" w:hAnsi="仿宋" w:eastAsia="仿宋" w:cs="宋体"/>
                <w:kern w:val="0"/>
                <w:sz w:val="24"/>
                <w:szCs w:val="24"/>
              </w:rPr>
            </w:pPr>
            <w:r>
              <w:rPr>
                <w:rFonts w:hint="eastAsia" w:ascii="仿宋" w:hAnsi="仿宋" w:eastAsia="仿宋" w:cs="宋体"/>
                <w:kern w:val="0"/>
                <w:sz w:val="24"/>
                <w:szCs w:val="24"/>
              </w:rPr>
              <w:t>27</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1352" w:type="pct"/>
            <w:tcBorders>
              <w:left w:val="single" w:color="CCE8CF" w:themeColor="background1" w:sz="4" w:space="0"/>
              <w:bottom w:val="single" w:color="CCE8CF" w:themeColor="background1" w:sz="4" w:space="0"/>
            </w:tcBorders>
            <w:shd w:val="clear" w:color="auto" w:fill="5B9BD5" w:themeFill="accent5"/>
            <w:noWrap/>
          </w:tcPr>
          <w:p>
            <w:pPr>
              <w:widowControl/>
              <w:jc w:val="center"/>
              <w:rPr>
                <w:rFonts w:ascii="仿宋" w:hAnsi="仿宋" w:eastAsia="仿宋" w:cs="宋体"/>
                <w:b w:val="0"/>
                <w:bCs w:val="0"/>
                <w:color w:val="CCE8CF" w:themeColor="background1"/>
                <w:kern w:val="0"/>
                <w:sz w:val="24"/>
                <w:szCs w:val="24"/>
              </w:rPr>
            </w:pPr>
            <w:r>
              <w:rPr>
                <w:rFonts w:hint="eastAsia" w:ascii="仿宋" w:hAnsi="仿宋" w:eastAsia="仿宋" w:cs="宋体"/>
                <w:b/>
                <w:bCs/>
                <w:color w:val="CCE8CF" w:themeColor="background1"/>
                <w:kern w:val="0"/>
                <w:sz w:val="24"/>
                <w:szCs w:val="24"/>
              </w:rPr>
              <w:t>实用英语交际职业技能等级证书</w:t>
            </w:r>
          </w:p>
        </w:tc>
        <w:tc>
          <w:tcPr>
            <w:tcW w:w="1651" w:type="pct"/>
            <w:shd w:val="clear" w:color="auto" w:fill="DEEAF6" w:themeFill="accent5" w:themeFillTint="33"/>
            <w:noWrap/>
            <w:vAlign w:val="center"/>
          </w:tcPr>
          <w:p>
            <w:pPr>
              <w:widowControl/>
              <w:jc w:val="center"/>
              <w:rPr>
                <w:rFonts w:ascii="仿宋" w:hAnsi="仿宋" w:eastAsia="仿宋" w:cs="宋体"/>
                <w:kern w:val="0"/>
                <w:sz w:val="24"/>
                <w:szCs w:val="24"/>
              </w:rPr>
            </w:pPr>
            <w:r>
              <w:rPr>
                <w:rFonts w:hint="eastAsia" w:ascii="仿宋" w:hAnsi="仿宋" w:eastAsia="仿宋" w:cs="宋体"/>
                <w:kern w:val="0"/>
                <w:sz w:val="24"/>
                <w:szCs w:val="24"/>
              </w:rPr>
              <w:t>北京外研在线数字科技有限公司</w:t>
            </w:r>
          </w:p>
        </w:tc>
        <w:tc>
          <w:tcPr>
            <w:tcW w:w="720" w:type="pct"/>
            <w:shd w:val="clear" w:color="auto" w:fill="DEEAF6" w:themeFill="accent5" w:themeFillTint="33"/>
            <w:noWrap/>
            <w:vAlign w:val="center"/>
          </w:tcPr>
          <w:p>
            <w:pPr>
              <w:widowControl/>
              <w:jc w:val="center"/>
              <w:rPr>
                <w:rFonts w:ascii="仿宋" w:hAnsi="仿宋" w:eastAsia="仿宋" w:cs="宋体"/>
                <w:kern w:val="0"/>
                <w:sz w:val="24"/>
                <w:szCs w:val="24"/>
              </w:rPr>
            </w:pPr>
            <w:r>
              <w:rPr>
                <w:rFonts w:hint="eastAsia" w:ascii="仿宋" w:hAnsi="仿宋" w:eastAsia="仿宋" w:cs="宋体"/>
                <w:kern w:val="0"/>
                <w:sz w:val="24"/>
                <w:szCs w:val="24"/>
              </w:rPr>
              <w:t>2021-08</w:t>
            </w:r>
          </w:p>
        </w:tc>
        <w:tc>
          <w:tcPr>
            <w:tcW w:w="647" w:type="pct"/>
            <w:shd w:val="clear" w:color="auto" w:fill="DEEAF6" w:themeFill="accent5" w:themeFillTint="33"/>
            <w:noWrap/>
            <w:vAlign w:val="center"/>
          </w:tcPr>
          <w:p>
            <w:pPr>
              <w:widowControl/>
              <w:jc w:val="center"/>
              <w:rPr>
                <w:rFonts w:ascii="仿宋" w:hAnsi="仿宋" w:eastAsia="仿宋" w:cs="宋体"/>
                <w:kern w:val="0"/>
                <w:sz w:val="24"/>
                <w:szCs w:val="24"/>
              </w:rPr>
            </w:pPr>
            <w:r>
              <w:rPr>
                <w:rFonts w:hint="eastAsia" w:ascii="仿宋" w:hAnsi="仿宋" w:eastAsia="仿宋" w:cs="宋体"/>
                <w:kern w:val="0"/>
                <w:sz w:val="24"/>
                <w:szCs w:val="24"/>
              </w:rPr>
              <w:t>25</w:t>
            </w:r>
          </w:p>
        </w:tc>
        <w:tc>
          <w:tcPr>
            <w:tcW w:w="630" w:type="pct"/>
            <w:shd w:val="clear" w:color="auto" w:fill="DEEAF6" w:themeFill="accent5" w:themeFillTint="33"/>
            <w:noWrap/>
            <w:vAlign w:val="center"/>
          </w:tcPr>
          <w:p>
            <w:pPr>
              <w:widowControl/>
              <w:jc w:val="center"/>
              <w:rPr>
                <w:rFonts w:ascii="仿宋" w:hAnsi="仿宋" w:eastAsia="仿宋" w:cs="宋体"/>
                <w:kern w:val="0"/>
                <w:sz w:val="24"/>
                <w:szCs w:val="24"/>
              </w:rPr>
            </w:pPr>
            <w:r>
              <w:rPr>
                <w:rFonts w:hint="eastAsia" w:ascii="仿宋" w:hAnsi="仿宋" w:eastAsia="仿宋" w:cs="宋体"/>
                <w:kern w:val="0"/>
                <w:sz w:val="24"/>
                <w:szCs w:val="24"/>
              </w:rPr>
              <w:t>24</w:t>
            </w:r>
          </w:p>
        </w:tc>
      </w:tr>
    </w:tbl>
    <w:p>
      <w:pPr>
        <w:widowControl/>
        <w:spacing w:line="360" w:lineRule="auto"/>
        <w:ind w:firstLine="560" w:firstLineChars="200"/>
        <w:rPr>
          <w:rFonts w:ascii="仿宋_GB2312" w:eastAsia="仿宋_GB2312" w:hAnsiTheme="minorEastAsia"/>
          <w:sz w:val="28"/>
          <w:szCs w:val="28"/>
        </w:rPr>
      </w:pPr>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重视学生的技能训练，积极组织学生参加各类省市级技能大赛。202</w:t>
      </w:r>
      <w:r>
        <w:rPr>
          <w:rFonts w:ascii="仿宋" w:hAnsi="仿宋" w:eastAsia="仿宋"/>
          <w:sz w:val="28"/>
          <w:szCs w:val="28"/>
        </w:rPr>
        <w:t>2</w:t>
      </w:r>
      <w:r>
        <w:rPr>
          <w:rFonts w:hint="eastAsia" w:ascii="仿宋" w:hAnsi="仿宋" w:eastAsia="仿宋"/>
          <w:sz w:val="28"/>
          <w:szCs w:val="28"/>
        </w:rPr>
        <w:t>年江苏省职业技能大赛中斩获一银五铜：江水明、孙猛老师指导的包林鑫、李久琪2位同学在建筑装饰技术应用赛项中荣获二等奖，全省排名第五，获得参加国赛集训选拔资格，取得该校该项目在省赛上的新突破（见图1.9）；江水明老师指导的沈玥辉同学荣获室内艺术设计比赛个人三等奖；卢春林老师指导的艺术与建筑学院张一涵同学在英语口语（非专业组）比赛中获个人三等奖；在电子商务技能赛项中，丁丹、沈鸾老师指导的刘嘉成、徐梦欣、葛家同、陶毅4位同学获得团体三等奖；赵志敏、李凤盼老师指导的倪荣荣、刘思远、李佳3位同学在Web技术赛项中获得团体三等奖；在学前教育专业教育技能赛项中，张婷、杜宇翚老师指导的徐琪、林泓杉、杭玺和3位同学荣获团体三等奖。在</w:t>
      </w:r>
      <w:r>
        <w:rPr>
          <w:rFonts w:ascii="仿宋" w:hAnsi="仿宋" w:eastAsia="仿宋"/>
          <w:sz w:val="28"/>
          <w:szCs w:val="28"/>
        </w:rPr>
        <w:t>2021年“外研社·国才杯”全国英语写作大赛</w:t>
      </w:r>
      <w:r>
        <w:rPr>
          <w:rFonts w:hint="eastAsia" w:ascii="仿宋" w:hAnsi="仿宋" w:eastAsia="仿宋"/>
          <w:sz w:val="28"/>
          <w:szCs w:val="28"/>
        </w:rPr>
        <w:t>中</w:t>
      </w:r>
      <w:r>
        <w:rPr>
          <w:rFonts w:ascii="仿宋" w:hAnsi="仿宋" w:eastAsia="仿宋"/>
          <w:sz w:val="28"/>
          <w:szCs w:val="28"/>
        </w:rPr>
        <w:t>，赵嘉辰同学荣获公共英语三等奖，李俊灼同学荣获专业英语三等奖。</w:t>
      </w:r>
      <w:r>
        <w:rPr>
          <w:rFonts w:hint="eastAsia" w:ascii="仿宋" w:hAnsi="仿宋" w:eastAsia="仿宋"/>
          <w:sz w:val="28"/>
          <w:szCs w:val="28"/>
        </w:rPr>
        <w:t>同一主题</w:t>
      </w:r>
      <w:r>
        <w:rPr>
          <w:rFonts w:ascii="仿宋" w:hAnsi="仿宋" w:eastAsia="仿宋"/>
          <w:sz w:val="28"/>
          <w:szCs w:val="28"/>
        </w:rPr>
        <w:t>全国英语演讲大赛（高职组）江苏赛区比赛中，张一涵同学和李俊灼同学</w:t>
      </w:r>
      <w:r>
        <w:rPr>
          <w:rFonts w:hint="eastAsia" w:ascii="仿宋" w:hAnsi="仿宋" w:eastAsia="仿宋"/>
          <w:sz w:val="28"/>
          <w:szCs w:val="28"/>
        </w:rPr>
        <w:t>分别</w:t>
      </w:r>
      <w:r>
        <w:rPr>
          <w:rFonts w:ascii="仿宋" w:hAnsi="仿宋" w:eastAsia="仿宋"/>
          <w:sz w:val="28"/>
          <w:szCs w:val="28"/>
        </w:rPr>
        <w:t>荣获三等奖。</w:t>
      </w:r>
      <w:r>
        <w:rPr>
          <w:rFonts w:hint="eastAsia" w:ascii="仿宋" w:hAnsi="仿宋" w:eastAsia="仿宋"/>
          <w:sz w:val="28"/>
          <w:szCs w:val="28"/>
        </w:rPr>
        <w:t>在江苏省高等学校数学教学研究会组织的第十八届高等数学竞赛中，吴多康、王颜两位老师指导了</w:t>
      </w:r>
      <w:r>
        <w:rPr>
          <w:rFonts w:ascii="仿宋" w:hAnsi="仿宋" w:eastAsia="仿宋"/>
          <w:sz w:val="28"/>
          <w:szCs w:val="28"/>
        </w:rPr>
        <w:t>5名同学参加竞赛，</w:t>
      </w:r>
      <w:r>
        <w:rPr>
          <w:rFonts w:hint="eastAsia" w:ascii="仿宋" w:hAnsi="仿宋" w:eastAsia="仿宋"/>
          <w:sz w:val="28"/>
          <w:szCs w:val="28"/>
        </w:rPr>
        <w:t>其中</w:t>
      </w:r>
      <w:r>
        <w:rPr>
          <w:rFonts w:ascii="仿宋" w:hAnsi="仿宋" w:eastAsia="仿宋"/>
          <w:sz w:val="28"/>
          <w:szCs w:val="28"/>
        </w:rPr>
        <w:t>卓星星同学</w:t>
      </w:r>
      <w:r>
        <w:rPr>
          <w:rFonts w:hint="eastAsia" w:ascii="仿宋" w:hAnsi="仿宋" w:eastAsia="仿宋"/>
          <w:sz w:val="28"/>
          <w:szCs w:val="28"/>
        </w:rPr>
        <w:t>和</w:t>
      </w:r>
      <w:r>
        <w:rPr>
          <w:rFonts w:ascii="仿宋" w:hAnsi="仿宋" w:eastAsia="仿宋"/>
          <w:sz w:val="28"/>
          <w:szCs w:val="28"/>
        </w:rPr>
        <w:t>钱弘炜同学</w:t>
      </w:r>
      <w:r>
        <w:rPr>
          <w:rFonts w:hint="eastAsia" w:ascii="仿宋" w:hAnsi="仿宋" w:eastAsia="仿宋"/>
          <w:sz w:val="28"/>
          <w:szCs w:val="28"/>
        </w:rPr>
        <w:t>分别</w:t>
      </w:r>
      <w:r>
        <w:rPr>
          <w:rFonts w:ascii="仿宋" w:hAnsi="仿宋" w:eastAsia="仿宋"/>
          <w:sz w:val="28"/>
          <w:szCs w:val="28"/>
        </w:rPr>
        <w:t>获得专科组二等奖</w:t>
      </w:r>
      <w:r>
        <w:rPr>
          <w:rFonts w:hint="eastAsia" w:ascii="仿宋" w:hAnsi="仿宋" w:eastAsia="仿宋"/>
          <w:sz w:val="28"/>
          <w:szCs w:val="28"/>
        </w:rPr>
        <w:t>和</w:t>
      </w:r>
      <w:r>
        <w:rPr>
          <w:rFonts w:ascii="仿宋" w:hAnsi="仿宋" w:eastAsia="仿宋"/>
          <w:sz w:val="28"/>
          <w:szCs w:val="28"/>
        </w:rPr>
        <w:t>三等奖。组织学生参加“苏州禁毒社工形象创意设计大赛”，李诗珩同学获三等奖、十佳网络人气奖，江水明、韩美英、张薇老师获优秀指导教师奖，艺术与建筑学院获优秀组织奖。在第二届“外教社·词达人杯”全国大学生英语词汇能力大赛江苏赛区比赛中</w:t>
      </w:r>
      <w:r>
        <w:rPr>
          <w:rFonts w:hint="eastAsia" w:ascii="仿宋" w:hAnsi="仿宋" w:eastAsia="仿宋"/>
          <w:sz w:val="28"/>
          <w:szCs w:val="28"/>
        </w:rPr>
        <w:t>，</w:t>
      </w:r>
      <w:r>
        <w:rPr>
          <w:rFonts w:ascii="仿宋" w:hAnsi="仿宋" w:eastAsia="仿宋"/>
          <w:sz w:val="28"/>
          <w:szCs w:val="28"/>
        </w:rPr>
        <w:t>护理专业徐丽圆、会计专业朱梦凡、婴幼儿托育服务与管理专业孙国彤等三名学生荣获三等奖，卢春林、黄琼、张迪等三名教师获得优秀指导教师奖。</w:t>
      </w:r>
      <w:r>
        <w:rPr>
          <w:rFonts w:hint="eastAsia" w:ascii="仿宋" w:hAnsi="仿宋" w:eastAsia="仿宋"/>
          <w:sz w:val="28"/>
          <w:szCs w:val="28"/>
        </w:rPr>
        <w:t>参加全国网络安全知识大赛，该校获得三等奖2名，二等奖一名，同时张家睿同学获得全国前500强。在2021年高新区举办的CTF技能大赛中，张家睿同学作为队长，取得了个人三等奖和团队三等奖。</w:t>
      </w:r>
    </w:p>
    <w:p>
      <w:pPr>
        <w:widowControl/>
        <w:spacing w:after="156" w:afterLines="50" w:line="360" w:lineRule="auto"/>
        <w:jc w:val="center"/>
        <w:rPr>
          <w:rFonts w:ascii="仿宋_GB2312" w:eastAsia="仿宋_GB2312"/>
          <w:b/>
          <w:sz w:val="24"/>
          <w:szCs w:val="24"/>
        </w:rPr>
      </w:pPr>
      <w:r>
        <w:drawing>
          <wp:inline distT="0" distB="0" distL="0" distR="0">
            <wp:extent cx="4844415" cy="363283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4859845" cy="3644758"/>
                    </a:xfrm>
                    <a:prstGeom prst="rect">
                      <a:avLst/>
                    </a:prstGeom>
                    <a:noFill/>
                    <a:ln>
                      <a:noFill/>
                    </a:ln>
                  </pic:spPr>
                </pic:pic>
              </a:graphicData>
            </a:graphic>
          </wp:inline>
        </w:drawing>
      </w:r>
    </w:p>
    <w:p>
      <w:pPr>
        <w:widowControl/>
        <w:spacing w:after="156" w:afterLines="50" w:line="360" w:lineRule="auto"/>
        <w:jc w:val="center"/>
        <w:rPr>
          <w:rFonts w:ascii="仿宋_GB2312" w:eastAsia="仿宋_GB2312"/>
          <w:b/>
          <w:sz w:val="24"/>
          <w:szCs w:val="24"/>
        </w:rPr>
      </w:pPr>
      <w:bookmarkStart w:id="67" w:name="_Toc124168544"/>
      <w:bookmarkStart w:id="68" w:name="_Toc124169687"/>
      <w:bookmarkStart w:id="69" w:name="_Toc124168965"/>
      <w:bookmarkStart w:id="70" w:name="_Hlk121990343"/>
      <w:r>
        <w:rPr>
          <w:rFonts w:hint="eastAsia" w:ascii="仿宋_GB2312" w:eastAsia="仿宋_GB2312"/>
          <w:b/>
          <w:sz w:val="24"/>
          <w:szCs w:val="24"/>
        </w:rPr>
        <w:t xml:space="preserve">图1. </w:t>
      </w:r>
      <w:r>
        <w:rPr>
          <w:rFonts w:ascii="仿宋_GB2312" w:eastAsia="仿宋_GB2312"/>
          <w:b/>
          <w:sz w:val="24"/>
          <w:szCs w:val="24"/>
        </w:rPr>
        <w:fldChar w:fldCharType="begin"/>
      </w:r>
      <w:r>
        <w:rPr>
          <w:rFonts w:ascii="仿宋_GB2312" w:eastAsia="仿宋_GB2312"/>
          <w:b/>
          <w:sz w:val="24"/>
          <w:szCs w:val="24"/>
        </w:rPr>
        <w:instrText xml:space="preserve"> </w:instrText>
      </w:r>
      <w:r>
        <w:rPr>
          <w:rFonts w:hint="eastAsia" w:ascii="仿宋_GB2312" w:eastAsia="仿宋_GB2312"/>
          <w:b/>
          <w:sz w:val="24"/>
          <w:szCs w:val="24"/>
        </w:rPr>
        <w:instrText xml:space="preserve">SEQ 图1. \* ARABIC</w:instrText>
      </w:r>
      <w:r>
        <w:rPr>
          <w:rFonts w:ascii="仿宋_GB2312" w:eastAsia="仿宋_GB2312"/>
          <w:b/>
          <w:sz w:val="24"/>
          <w:szCs w:val="24"/>
        </w:rPr>
        <w:instrText xml:space="preserve"> </w:instrText>
      </w:r>
      <w:r>
        <w:rPr>
          <w:rFonts w:ascii="仿宋_GB2312" w:eastAsia="仿宋_GB2312"/>
          <w:b/>
          <w:sz w:val="24"/>
          <w:szCs w:val="24"/>
        </w:rPr>
        <w:fldChar w:fldCharType="separate"/>
      </w:r>
      <w:r>
        <w:rPr>
          <w:rFonts w:ascii="仿宋_GB2312" w:eastAsia="仿宋_GB2312"/>
          <w:b/>
          <w:sz w:val="24"/>
          <w:szCs w:val="24"/>
        </w:rPr>
        <w:t>9</w:t>
      </w:r>
      <w:r>
        <w:rPr>
          <w:rFonts w:ascii="仿宋_GB2312" w:eastAsia="仿宋_GB2312"/>
          <w:b/>
          <w:sz w:val="24"/>
          <w:szCs w:val="24"/>
        </w:rPr>
        <w:fldChar w:fldCharType="end"/>
      </w:r>
      <w:r>
        <w:rPr>
          <w:rFonts w:ascii="仿宋_GB2312" w:eastAsia="仿宋_GB2312"/>
          <w:b/>
          <w:sz w:val="24"/>
          <w:szCs w:val="24"/>
        </w:rPr>
        <w:t xml:space="preserve"> </w:t>
      </w:r>
      <w:r>
        <w:rPr>
          <w:rFonts w:hint="eastAsia" w:ascii="仿宋_GB2312" w:eastAsia="仿宋_GB2312"/>
          <w:b/>
          <w:sz w:val="24"/>
          <w:szCs w:val="24"/>
        </w:rPr>
        <w:t>参加2</w:t>
      </w:r>
      <w:r>
        <w:rPr>
          <w:rFonts w:ascii="仿宋_GB2312" w:eastAsia="仿宋_GB2312"/>
          <w:b/>
          <w:sz w:val="24"/>
          <w:szCs w:val="24"/>
        </w:rPr>
        <w:t>022</w:t>
      </w:r>
      <w:r>
        <w:rPr>
          <w:rFonts w:hint="eastAsia" w:ascii="仿宋_GB2312" w:eastAsia="仿宋_GB2312"/>
          <w:b/>
          <w:sz w:val="24"/>
          <w:szCs w:val="24"/>
        </w:rPr>
        <w:t>年省职业院校技能大赛荣获二等奖的学生与指导教师</w:t>
      </w:r>
      <w:bookmarkEnd w:id="67"/>
      <w:bookmarkEnd w:id="68"/>
      <w:bookmarkEnd w:id="69"/>
    </w:p>
    <w:bookmarkEnd w:id="70"/>
    <w:p>
      <w:pPr>
        <w:adjustRightInd w:val="0"/>
        <w:snapToGrid w:val="0"/>
        <w:spacing w:line="360" w:lineRule="auto"/>
        <w:ind w:firstLine="560" w:firstLineChars="200"/>
        <w:rPr>
          <w:rFonts w:ascii="仿宋" w:hAnsi="仿宋" w:eastAsia="仿宋"/>
          <w:sz w:val="28"/>
          <w:szCs w:val="28"/>
        </w:rPr>
      </w:pPr>
      <w:r>
        <w:rPr>
          <w:rFonts w:ascii="仿宋" w:hAnsi="仿宋" w:eastAsia="仿宋"/>
          <w:sz w:val="28"/>
          <w:szCs w:val="28"/>
        </w:rPr>
        <w:t>学校重视教学活动</w:t>
      </w:r>
      <w:r>
        <w:rPr>
          <w:rFonts w:hint="eastAsia" w:ascii="仿宋" w:hAnsi="仿宋" w:eastAsia="仿宋"/>
          <w:sz w:val="28"/>
          <w:szCs w:val="28"/>
        </w:rPr>
        <w:t>、技能训练的育人关键环节，重视</w:t>
      </w:r>
      <w:r>
        <w:rPr>
          <w:rFonts w:ascii="仿宋" w:hAnsi="仿宋" w:eastAsia="仿宋"/>
          <w:sz w:val="28"/>
          <w:szCs w:val="28"/>
        </w:rPr>
        <w:t>校园文化</w:t>
      </w:r>
      <w:r>
        <w:rPr>
          <w:rFonts w:hint="eastAsia" w:ascii="仿宋" w:hAnsi="仿宋" w:eastAsia="仿宋"/>
          <w:sz w:val="28"/>
          <w:szCs w:val="28"/>
        </w:rPr>
        <w:t>等</w:t>
      </w:r>
      <w:r>
        <w:rPr>
          <w:rFonts w:ascii="仿宋" w:hAnsi="仿宋" w:eastAsia="仿宋"/>
          <w:sz w:val="28"/>
          <w:szCs w:val="28"/>
        </w:rPr>
        <w:t>重要载体</w:t>
      </w:r>
      <w:r>
        <w:rPr>
          <w:rFonts w:hint="eastAsia" w:ascii="仿宋" w:hAnsi="仿宋" w:eastAsia="仿宋"/>
          <w:sz w:val="28"/>
          <w:szCs w:val="28"/>
        </w:rPr>
        <w:t>支撑，举办</w:t>
      </w:r>
      <w:bookmarkStart w:id="71" w:name="_Hlk120798530"/>
      <w:r>
        <w:rPr>
          <w:rFonts w:hint="eastAsia" w:ascii="仿宋" w:hAnsi="仿宋" w:eastAsia="仿宋"/>
          <w:sz w:val="28"/>
          <w:szCs w:val="28"/>
        </w:rPr>
        <w:t>大学生职业生涯规划大赛</w:t>
      </w:r>
      <w:bookmarkEnd w:id="71"/>
      <w:r>
        <w:rPr>
          <w:rFonts w:hint="eastAsia" w:ascii="仿宋" w:hAnsi="仿宋" w:eastAsia="仿宋"/>
          <w:sz w:val="28"/>
          <w:szCs w:val="28"/>
        </w:rPr>
        <w:t>，</w:t>
      </w:r>
      <w:r>
        <w:rPr>
          <w:rFonts w:ascii="仿宋" w:hAnsi="仿宋" w:eastAsia="仿宋"/>
          <w:sz w:val="28"/>
          <w:szCs w:val="28"/>
        </w:rPr>
        <w:t>利用良好坚实的载体</w:t>
      </w:r>
      <w:r>
        <w:rPr>
          <w:rFonts w:hint="eastAsia" w:ascii="仿宋" w:hAnsi="仿宋" w:eastAsia="仿宋"/>
          <w:sz w:val="28"/>
          <w:szCs w:val="28"/>
        </w:rPr>
        <w:t>支持，加之正确的办学思想和有效的育人方略，</w:t>
      </w:r>
      <w:r>
        <w:rPr>
          <w:rFonts w:ascii="仿宋" w:hAnsi="仿宋" w:eastAsia="仿宋"/>
          <w:sz w:val="28"/>
          <w:szCs w:val="28"/>
        </w:rPr>
        <w:t>实现在校</w:t>
      </w:r>
      <w:r>
        <w:rPr>
          <w:rFonts w:hint="eastAsia" w:ascii="仿宋" w:hAnsi="仿宋" w:eastAsia="仿宋"/>
          <w:sz w:val="28"/>
          <w:szCs w:val="28"/>
        </w:rPr>
        <w:t>学生</w:t>
      </w:r>
      <w:r>
        <w:rPr>
          <w:rFonts w:ascii="仿宋" w:hAnsi="仿宋" w:eastAsia="仿宋"/>
          <w:sz w:val="28"/>
          <w:szCs w:val="28"/>
        </w:rPr>
        <w:t>的综合素</w:t>
      </w:r>
      <w:r>
        <w:rPr>
          <w:rFonts w:hint="eastAsia" w:ascii="仿宋" w:hAnsi="仿宋" w:eastAsia="仿宋"/>
          <w:sz w:val="28"/>
          <w:szCs w:val="28"/>
        </w:rPr>
        <w:t>质</w:t>
      </w:r>
      <w:r>
        <w:rPr>
          <w:rFonts w:ascii="仿宋" w:hAnsi="仿宋" w:eastAsia="仿宋"/>
          <w:sz w:val="28"/>
          <w:szCs w:val="28"/>
        </w:rPr>
        <w:t>培养</w:t>
      </w:r>
      <w:r>
        <w:rPr>
          <w:rFonts w:hint="eastAsia" w:ascii="仿宋" w:hAnsi="仿宋" w:eastAsia="仿宋"/>
          <w:sz w:val="28"/>
          <w:szCs w:val="28"/>
        </w:rPr>
        <w:t>，</w:t>
      </w:r>
      <w:r>
        <w:rPr>
          <w:rFonts w:ascii="仿宋" w:hAnsi="仿宋" w:eastAsia="仿宋"/>
          <w:sz w:val="28"/>
          <w:szCs w:val="28"/>
        </w:rPr>
        <w:t>推进</w:t>
      </w:r>
      <w:r>
        <w:rPr>
          <w:rFonts w:hint="eastAsia" w:ascii="仿宋" w:hAnsi="仿宋" w:eastAsia="仿宋"/>
          <w:sz w:val="28"/>
          <w:szCs w:val="28"/>
        </w:rPr>
        <w:t>其</w:t>
      </w:r>
      <w:r>
        <w:rPr>
          <w:rFonts w:ascii="仿宋" w:hAnsi="仿宋" w:eastAsia="仿宋"/>
          <w:sz w:val="28"/>
          <w:szCs w:val="28"/>
        </w:rPr>
        <w:t>职业发展</w:t>
      </w:r>
      <w:r>
        <w:rPr>
          <w:rFonts w:hint="eastAsia" w:ascii="仿宋" w:hAnsi="仿宋" w:eastAsia="仿宋"/>
          <w:sz w:val="28"/>
          <w:szCs w:val="28"/>
        </w:rPr>
        <w:t>。在</w:t>
      </w:r>
      <w:r>
        <w:rPr>
          <w:rFonts w:ascii="仿宋" w:hAnsi="仿宋" w:eastAsia="仿宋"/>
          <w:sz w:val="28"/>
          <w:szCs w:val="28"/>
        </w:rPr>
        <w:t>2021年度江苏省普通高校本专科优秀毕业论文（设计）评选</w:t>
      </w:r>
      <w:r>
        <w:rPr>
          <w:rFonts w:hint="eastAsia" w:ascii="仿宋" w:hAnsi="仿宋" w:eastAsia="仿宋"/>
          <w:sz w:val="28"/>
          <w:szCs w:val="28"/>
        </w:rPr>
        <w:t>中</w:t>
      </w:r>
      <w:r>
        <w:rPr>
          <w:rFonts w:ascii="仿宋" w:hAnsi="仿宋" w:eastAsia="仿宋"/>
          <w:sz w:val="28"/>
          <w:szCs w:val="28"/>
        </w:rPr>
        <w:t>，该校共有3项作品获奖：三等奖2项，分别是：软件技术专业闫皓同学的“基于二值化图像分割算法的异物检出清洁自动化设备的设计与开发”，指导教师李月峰；影视动画专业阳坊同学的“三维动画短片《风华》设计分析”，指导教师庞建。团队优秀奖1项，幼儿发展与健康管理专业刘鑫佳、樊聪巍、顾诗思同学的“纸类在幼儿园非遗主题美术活动中的有效运用”，指导教师张婷、祝欣月和刘若诗。</w:t>
      </w:r>
      <w:r>
        <w:rPr>
          <w:rFonts w:hint="eastAsia" w:ascii="仿宋" w:hAnsi="仿宋" w:eastAsia="仿宋"/>
          <w:sz w:val="28"/>
          <w:szCs w:val="28"/>
        </w:rPr>
        <w:t>继2020年国家“信息安全水平授权考试中心”在高博落户，该校通过校企联合开展“国家信息安全水平考试（NISP）”的系统培训，着重培养学生的岗位实操能力，为社会加速培养高素质的信息安全专业人才；</w:t>
      </w:r>
      <w:r>
        <w:rPr>
          <w:rFonts w:ascii="仿宋" w:hAnsi="仿宋" w:eastAsia="仿宋"/>
          <w:sz w:val="28"/>
          <w:szCs w:val="28"/>
        </w:rPr>
        <w:t>该校微爱young青春健康俱乐部，作为国家级“青春健康教育示范基地”，开展了以“青春无畏</w:t>
      </w:r>
      <w:r>
        <w:rPr>
          <w:rFonts w:hint="eastAsia" w:ascii="仿宋" w:hAnsi="仿宋" w:eastAsia="仿宋"/>
          <w:sz w:val="28"/>
          <w:szCs w:val="28"/>
        </w:rPr>
        <w:t>，</w:t>
      </w:r>
      <w:r>
        <w:rPr>
          <w:rFonts w:ascii="仿宋" w:hAnsi="仿宋" w:eastAsia="仿宋"/>
          <w:sz w:val="28"/>
          <w:szCs w:val="28"/>
        </w:rPr>
        <w:t>健康高博”为主题的2021级学生干部户外团建活动；举办第三届青春健康同伴教育主持人比赛</w:t>
      </w:r>
      <w:r>
        <w:rPr>
          <w:rFonts w:hint="eastAsia" w:ascii="仿宋" w:hAnsi="仿宋" w:eastAsia="仿宋"/>
          <w:sz w:val="28"/>
          <w:szCs w:val="28"/>
        </w:rPr>
        <w:t>；</w:t>
      </w:r>
      <w:r>
        <w:rPr>
          <w:rFonts w:ascii="仿宋" w:hAnsi="仿宋" w:eastAsia="仿宋"/>
          <w:sz w:val="28"/>
          <w:szCs w:val="28"/>
        </w:rPr>
        <w:t>深入周边幼儿园开展“儿童性教育”社会实践活动；获得中国计生协等5个上级部门的青春防艾高校项目，项目资金5.8万元。</w:t>
      </w:r>
      <w:r>
        <w:rPr>
          <w:rFonts w:hint="eastAsia" w:ascii="仿宋" w:hAnsi="仿宋" w:eastAsia="仿宋"/>
          <w:sz w:val="28"/>
          <w:szCs w:val="28"/>
        </w:rPr>
        <w:t>本学年学校举办了以“生涯筑梦、职赢未来”为主题的2021年大学生职业生涯规划大赛。本</w:t>
      </w:r>
      <w:r>
        <w:rPr>
          <w:rFonts w:ascii="仿宋" w:hAnsi="仿宋" w:eastAsia="仿宋"/>
          <w:sz w:val="28"/>
          <w:szCs w:val="28"/>
        </w:rPr>
        <w:t>学年</w:t>
      </w:r>
      <w:r>
        <w:rPr>
          <w:rFonts w:hint="eastAsia" w:ascii="仿宋" w:hAnsi="仿宋" w:eastAsia="仿宋"/>
          <w:sz w:val="28"/>
          <w:szCs w:val="28"/>
        </w:rPr>
        <w:t>该校获取</w:t>
      </w:r>
      <w:r>
        <w:rPr>
          <w:rFonts w:ascii="仿宋" w:hAnsi="仿宋" w:eastAsia="仿宋"/>
          <w:sz w:val="28"/>
          <w:szCs w:val="28"/>
        </w:rPr>
        <w:t>国家奖学金</w:t>
      </w:r>
      <w:r>
        <w:rPr>
          <w:rFonts w:hint="eastAsia" w:ascii="仿宋" w:hAnsi="仿宋" w:eastAsia="仿宋"/>
          <w:sz w:val="28"/>
          <w:szCs w:val="28"/>
        </w:rPr>
        <w:t>有</w:t>
      </w:r>
      <w:r>
        <w:rPr>
          <w:rFonts w:ascii="仿宋" w:hAnsi="仿宋" w:eastAsia="仿宋"/>
          <w:sz w:val="28"/>
          <w:szCs w:val="28"/>
        </w:rPr>
        <w:t>1人、国家励志奖学金118人、国家助学金1333人</w:t>
      </w:r>
      <w:r>
        <w:rPr>
          <w:rFonts w:hint="eastAsia" w:ascii="仿宋" w:hAnsi="仿宋" w:eastAsia="仿宋"/>
          <w:sz w:val="28"/>
          <w:szCs w:val="28"/>
        </w:rPr>
        <w:t>。在校学生都能获得必要且充分的职业发展。</w:t>
      </w:r>
    </w:p>
    <w:p>
      <w:pPr>
        <w:pStyle w:val="3"/>
        <w:spacing w:before="0" w:after="0" w:line="360" w:lineRule="auto"/>
        <w:ind w:firstLine="643" w:firstLineChars="200"/>
        <w:rPr>
          <w:rFonts w:ascii="仿宋_GB2312" w:eastAsia="仿宋_GB2312" w:hAnsiTheme="minorEastAsia"/>
          <w:sz w:val="28"/>
          <w:szCs w:val="28"/>
        </w:rPr>
      </w:pPr>
      <w:r>
        <w:tab/>
      </w:r>
      <w:bookmarkStart w:id="72" w:name="_Toc533519400"/>
      <w:bookmarkStart w:id="73" w:name="_Toc124087880"/>
      <w:bookmarkStart w:id="74" w:name="_Toc532826550"/>
      <w:bookmarkStart w:id="75" w:name="_Toc500492289"/>
      <w:r>
        <w:rPr>
          <w:rFonts w:hint="eastAsia" w:ascii="仿宋_GB2312" w:eastAsia="仿宋_GB2312" w:hAnsiTheme="minorEastAsia"/>
          <w:sz w:val="28"/>
          <w:szCs w:val="28"/>
        </w:rPr>
        <w:t>1</w:t>
      </w:r>
      <w:r>
        <w:rPr>
          <w:rFonts w:ascii="仿宋_GB2312" w:eastAsia="仿宋_GB2312" w:hAnsiTheme="minorEastAsia"/>
          <w:sz w:val="28"/>
          <w:szCs w:val="28"/>
        </w:rPr>
        <w:t>.5</w:t>
      </w:r>
      <w:r>
        <w:rPr>
          <w:rFonts w:hint="eastAsia" w:ascii="仿宋_GB2312" w:eastAsia="仿宋_GB2312" w:hAnsiTheme="minorEastAsia"/>
          <w:sz w:val="28"/>
          <w:szCs w:val="28"/>
        </w:rPr>
        <w:t>在校体验</w:t>
      </w:r>
      <w:bookmarkEnd w:id="72"/>
      <w:bookmarkEnd w:id="73"/>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该校全日制一、二年级在校总人数</w:t>
      </w:r>
      <w:r>
        <w:rPr>
          <w:rFonts w:ascii="仿宋" w:hAnsi="仿宋" w:eastAsia="仿宋"/>
          <w:sz w:val="28"/>
          <w:szCs w:val="28"/>
        </w:rPr>
        <w:t>5534</w:t>
      </w:r>
      <w:r>
        <w:rPr>
          <w:rFonts w:hint="eastAsia" w:ascii="仿宋" w:hAnsi="仿宋" w:eastAsia="仿宋"/>
          <w:sz w:val="28"/>
          <w:szCs w:val="28"/>
        </w:rPr>
        <w:t>人。经调查统计，学生在校体验良好，其学习、生活和活动都有较高认可，对教学、管理和服务等工作满意度高。学生志愿者活动与社团活动参与度高，社团类别新颖多样，结合专业学习、技能训练和校园文化建设，开展多种校园文化活动（见表</w:t>
      </w:r>
      <w:r>
        <w:rPr>
          <w:rFonts w:ascii="仿宋" w:hAnsi="仿宋" w:eastAsia="仿宋"/>
          <w:sz w:val="28"/>
          <w:szCs w:val="28"/>
        </w:rPr>
        <w:t>1.3</w:t>
      </w:r>
      <w:r>
        <w:rPr>
          <w:rFonts w:hint="eastAsia" w:ascii="仿宋" w:hAnsi="仿宋" w:eastAsia="仿宋"/>
          <w:sz w:val="28"/>
          <w:szCs w:val="28"/>
        </w:rPr>
        <w:t>）。学校现有20个学生社团，参与总人数达</w:t>
      </w:r>
      <w:r>
        <w:rPr>
          <w:rFonts w:ascii="仿宋" w:hAnsi="仿宋" w:eastAsia="仿宋"/>
          <w:sz w:val="28"/>
          <w:szCs w:val="28"/>
        </w:rPr>
        <w:t>1220</w:t>
      </w:r>
      <w:r>
        <w:rPr>
          <w:rFonts w:hint="eastAsia" w:ascii="仿宋" w:hAnsi="仿宋" w:eastAsia="仿宋"/>
          <w:sz w:val="28"/>
          <w:szCs w:val="28"/>
        </w:rPr>
        <w:t>人（见表1.4），活动实现常规化，在该校学生健康成长中，发挥着重要作用。</w:t>
      </w:r>
    </w:p>
    <w:p>
      <w:pPr>
        <w:adjustRightInd w:val="0"/>
        <w:snapToGrid w:val="0"/>
        <w:spacing w:line="360" w:lineRule="auto"/>
        <w:jc w:val="center"/>
        <w:rPr>
          <w:rFonts w:ascii="仿宋_GB2312" w:eastAsia="仿宋_GB2312" w:hAnsiTheme="minorEastAsia"/>
          <w:b/>
          <w:sz w:val="24"/>
          <w:szCs w:val="24"/>
        </w:rPr>
      </w:pPr>
      <w:bookmarkStart w:id="76" w:name="_Toc124170662"/>
      <w:bookmarkStart w:id="77" w:name="_Toc124170425"/>
      <w:bookmarkStart w:id="78" w:name="_Hlk121990357"/>
      <w:r>
        <w:rPr>
          <w:rFonts w:hint="eastAsia" w:ascii="仿宋_GB2312" w:eastAsia="仿宋_GB2312" w:hAnsiTheme="minorEastAsia"/>
          <w:b/>
          <w:sz w:val="24"/>
          <w:szCs w:val="24"/>
        </w:rPr>
        <w:t xml:space="preserve">表1. </w:t>
      </w:r>
      <w:r>
        <w:rPr>
          <w:rFonts w:ascii="仿宋_GB2312" w:eastAsia="仿宋_GB2312" w:hAnsiTheme="minorEastAsia"/>
          <w:b/>
          <w:sz w:val="24"/>
          <w:szCs w:val="24"/>
        </w:rPr>
        <w:fldChar w:fldCharType="begin"/>
      </w:r>
      <w:r>
        <w:rPr>
          <w:rFonts w:ascii="仿宋_GB2312" w:eastAsia="仿宋_GB2312" w:hAnsiTheme="minorEastAsia"/>
          <w:b/>
          <w:sz w:val="24"/>
          <w:szCs w:val="24"/>
        </w:rPr>
        <w:instrText xml:space="preserve"> </w:instrText>
      </w:r>
      <w:r>
        <w:rPr>
          <w:rFonts w:hint="eastAsia" w:ascii="仿宋_GB2312" w:eastAsia="仿宋_GB2312" w:hAnsiTheme="minorEastAsia"/>
          <w:b/>
          <w:sz w:val="24"/>
          <w:szCs w:val="24"/>
        </w:rPr>
        <w:instrText xml:space="preserve">SEQ 表1. \* ARABIC</w:instrText>
      </w:r>
      <w:r>
        <w:rPr>
          <w:rFonts w:ascii="仿宋_GB2312" w:eastAsia="仿宋_GB2312" w:hAnsiTheme="minorEastAsia"/>
          <w:b/>
          <w:sz w:val="24"/>
          <w:szCs w:val="24"/>
        </w:rPr>
        <w:instrText xml:space="preserve"> </w:instrText>
      </w:r>
      <w:r>
        <w:rPr>
          <w:rFonts w:ascii="仿宋_GB2312" w:eastAsia="仿宋_GB2312" w:hAnsiTheme="minorEastAsia"/>
          <w:b/>
          <w:sz w:val="24"/>
          <w:szCs w:val="24"/>
        </w:rPr>
        <w:fldChar w:fldCharType="separate"/>
      </w:r>
      <w:r>
        <w:rPr>
          <w:rFonts w:ascii="仿宋_GB2312" w:eastAsia="仿宋_GB2312" w:hAnsiTheme="minorEastAsia"/>
          <w:b/>
          <w:sz w:val="24"/>
          <w:szCs w:val="24"/>
        </w:rPr>
        <w:t>3</w:t>
      </w:r>
      <w:r>
        <w:rPr>
          <w:rFonts w:ascii="仿宋_GB2312" w:eastAsia="仿宋_GB2312" w:hAnsiTheme="minorEastAsia"/>
          <w:b/>
          <w:sz w:val="24"/>
          <w:szCs w:val="24"/>
        </w:rPr>
        <w:fldChar w:fldCharType="end"/>
      </w:r>
      <w:r>
        <w:rPr>
          <w:rFonts w:hint="eastAsia" w:ascii="仿宋_GB2312" w:eastAsia="仿宋_GB2312" w:hAnsiTheme="minorEastAsia"/>
          <w:b/>
          <w:sz w:val="24"/>
          <w:szCs w:val="24"/>
        </w:rPr>
        <w:t>满意度调查表</w:t>
      </w:r>
      <w:bookmarkEnd w:id="76"/>
      <w:bookmarkEnd w:id="77"/>
    </w:p>
    <w:bookmarkEnd w:id="78"/>
    <w:tbl>
      <w:tblPr>
        <w:tblStyle w:val="62"/>
        <w:tblW w:w="0" w:type="auto"/>
        <w:jc w:val="center"/>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Layout w:type="fixed"/>
        <w:tblCellMar>
          <w:top w:w="0" w:type="dxa"/>
          <w:left w:w="108" w:type="dxa"/>
          <w:bottom w:w="0" w:type="dxa"/>
          <w:right w:w="108" w:type="dxa"/>
        </w:tblCellMar>
      </w:tblPr>
      <w:tblGrid>
        <w:gridCol w:w="621"/>
        <w:gridCol w:w="2504"/>
        <w:gridCol w:w="731"/>
        <w:gridCol w:w="1031"/>
        <w:gridCol w:w="784"/>
        <w:gridCol w:w="1304"/>
        <w:gridCol w:w="776"/>
        <w:gridCol w:w="980"/>
        <w:gridCol w:w="1334"/>
      </w:tblGrid>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7" w:hRule="atLeast"/>
          <w:tblHeader/>
          <w:jc w:val="center"/>
        </w:trPr>
        <w:tc>
          <w:tcPr>
            <w:tcW w:w="621" w:type="dxa"/>
            <w:tcBorders>
              <w:top w:val="single" w:color="CCE8CF" w:themeColor="background1" w:sz="4" w:space="0"/>
              <w:left w:val="single" w:color="CCE8CF" w:themeColor="background1" w:sz="4" w:space="0"/>
              <w:right w:val="nil"/>
              <w:insideV w:val="nil"/>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序号</w:t>
            </w:r>
          </w:p>
        </w:tc>
        <w:tc>
          <w:tcPr>
            <w:tcW w:w="2504" w:type="dxa"/>
            <w:tcBorders>
              <w:top w:val="single" w:color="CCE8CF" w:themeColor="background1" w:sz="4" w:space="0"/>
              <w:right w:val="nil"/>
              <w:insideV w:val="nil"/>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指标</w:t>
            </w:r>
          </w:p>
        </w:tc>
        <w:tc>
          <w:tcPr>
            <w:tcW w:w="731" w:type="dxa"/>
            <w:tcBorders>
              <w:top w:val="single" w:color="CCE8CF" w:themeColor="background1" w:sz="4" w:space="0"/>
              <w:right w:val="nil"/>
              <w:insideV w:val="nil"/>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单位</w:t>
            </w:r>
          </w:p>
        </w:tc>
        <w:tc>
          <w:tcPr>
            <w:tcW w:w="1031" w:type="dxa"/>
            <w:tcBorders>
              <w:top w:val="single" w:color="CCE8CF" w:themeColor="background1" w:sz="4" w:space="0"/>
              <w:right w:val="nil"/>
              <w:insideV w:val="nil"/>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2021年</w:t>
            </w:r>
          </w:p>
        </w:tc>
        <w:tc>
          <w:tcPr>
            <w:tcW w:w="784" w:type="dxa"/>
            <w:tcBorders>
              <w:top w:val="single" w:color="CCE8CF" w:themeColor="background1" w:sz="4" w:space="0"/>
              <w:right w:val="nil"/>
              <w:insideV w:val="nil"/>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调查人次</w:t>
            </w:r>
          </w:p>
        </w:tc>
        <w:tc>
          <w:tcPr>
            <w:tcW w:w="1304" w:type="dxa"/>
            <w:tcBorders>
              <w:top w:val="single" w:color="CCE8CF" w:themeColor="background1" w:sz="4" w:space="0"/>
              <w:right w:val="nil"/>
              <w:insideV w:val="nil"/>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调查方式</w:t>
            </w:r>
          </w:p>
        </w:tc>
        <w:tc>
          <w:tcPr>
            <w:tcW w:w="776" w:type="dxa"/>
            <w:tcBorders>
              <w:top w:val="single" w:color="CCE8CF" w:themeColor="background1" w:sz="4" w:space="0"/>
              <w:right w:val="nil"/>
              <w:insideV w:val="nil"/>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2022年</w:t>
            </w:r>
          </w:p>
        </w:tc>
        <w:tc>
          <w:tcPr>
            <w:tcW w:w="980" w:type="dxa"/>
            <w:tcBorders>
              <w:top w:val="single" w:color="CCE8CF" w:themeColor="background1" w:sz="4" w:space="0"/>
              <w:right w:val="nil"/>
              <w:insideV w:val="nil"/>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调查人次</w:t>
            </w:r>
          </w:p>
        </w:tc>
        <w:tc>
          <w:tcPr>
            <w:tcW w:w="1334" w:type="dxa"/>
            <w:tcBorders>
              <w:top w:val="single" w:color="CCE8CF" w:themeColor="background1" w:sz="4" w:space="0"/>
              <w:right w:val="single" w:color="CCE8CF" w:themeColor="background1" w:sz="4" w:space="0"/>
              <w:insideV w:val="nil"/>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调查方式</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621" w:type="dxa"/>
            <w:vMerge w:val="restart"/>
            <w:tcBorders>
              <w:left w:val="single" w:color="CCE8CF" w:themeColor="background1" w:sz="4" w:space="0"/>
            </w:tcBorders>
            <w:shd w:val="clear" w:color="auto" w:fill="5B9BD5" w:themeFill="accent5"/>
            <w:vAlign w:val="center"/>
          </w:tcPr>
          <w:p>
            <w:pPr>
              <w:widowControl/>
              <w:jc w:val="center"/>
              <w:rPr>
                <w:rFonts w:ascii="Times New Roman" w:hAnsi="Times New Roman" w:eastAsia="等线" w:cs="Times New Roman"/>
                <w:b w:val="0"/>
                <w:bCs w:val="0"/>
                <w:color w:val="000000"/>
                <w:kern w:val="0"/>
                <w:sz w:val="24"/>
                <w:szCs w:val="24"/>
              </w:rPr>
            </w:pPr>
            <w:r>
              <w:rPr>
                <w:rFonts w:hint="eastAsia" w:ascii="仿宋" w:hAnsi="仿宋" w:eastAsia="仿宋" w:cs="宋体"/>
                <w:b/>
                <w:bCs/>
                <w:color w:val="FFFFFF"/>
                <w:kern w:val="0"/>
                <w:sz w:val="24"/>
                <w:szCs w:val="24"/>
              </w:rPr>
              <w:t>1</w:t>
            </w:r>
          </w:p>
        </w:tc>
        <w:tc>
          <w:tcPr>
            <w:tcW w:w="2504" w:type="dxa"/>
            <w:shd w:val="clear" w:color="auto" w:fill="BDD6EE" w:themeFill="accent5" w:themeFillTint="66"/>
            <w:vAlign w:val="center"/>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在校生满意度</w:t>
            </w:r>
          </w:p>
        </w:tc>
        <w:tc>
          <w:tcPr>
            <w:tcW w:w="731" w:type="dxa"/>
            <w:shd w:val="clear" w:color="auto" w:fill="BDD6EE" w:themeFill="accent5" w:themeFillTint="66"/>
            <w:vAlign w:val="center"/>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w:t>
            </w:r>
          </w:p>
        </w:tc>
        <w:tc>
          <w:tcPr>
            <w:tcW w:w="1031" w:type="dxa"/>
            <w:shd w:val="clear" w:color="auto" w:fill="BDD6EE" w:themeFill="accent5" w:themeFillTint="66"/>
            <w:vAlign w:val="center"/>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91.14</w:t>
            </w:r>
          </w:p>
        </w:tc>
        <w:tc>
          <w:tcPr>
            <w:tcW w:w="784" w:type="dxa"/>
            <w:shd w:val="clear" w:color="auto" w:fill="BDD6EE" w:themeFill="accent5" w:themeFillTint="66"/>
            <w:vAlign w:val="center"/>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3879</w:t>
            </w:r>
          </w:p>
        </w:tc>
        <w:tc>
          <w:tcPr>
            <w:tcW w:w="1304" w:type="dxa"/>
            <w:shd w:val="clear" w:color="auto" w:fill="BDD6EE" w:themeFill="accent5" w:themeFillTint="66"/>
            <w:vAlign w:val="center"/>
          </w:tcPr>
          <w:p>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网络问卷调查</w:t>
            </w:r>
          </w:p>
        </w:tc>
        <w:tc>
          <w:tcPr>
            <w:tcW w:w="776" w:type="dxa"/>
            <w:shd w:val="clear" w:color="auto" w:fill="BDD6EE" w:themeFill="accent5" w:themeFillTint="66"/>
            <w:vAlign w:val="center"/>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91.22</w:t>
            </w:r>
          </w:p>
        </w:tc>
        <w:tc>
          <w:tcPr>
            <w:tcW w:w="980" w:type="dxa"/>
            <w:shd w:val="clear" w:color="auto" w:fill="BDD6EE" w:themeFill="accent5" w:themeFillTint="66"/>
            <w:vAlign w:val="center"/>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5511</w:t>
            </w:r>
          </w:p>
        </w:tc>
        <w:tc>
          <w:tcPr>
            <w:tcW w:w="1334" w:type="dxa"/>
            <w:shd w:val="clear" w:color="auto" w:fill="BDD6EE" w:themeFill="accent5" w:themeFillTint="66"/>
            <w:vAlign w:val="center"/>
          </w:tcPr>
          <w:p>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网络问卷调查</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621" w:type="dxa"/>
            <w:vMerge w:val="continue"/>
            <w:tcBorders>
              <w:left w:val="single" w:color="CCE8CF" w:themeColor="background1" w:sz="4" w:space="0"/>
            </w:tcBorders>
            <w:shd w:val="clear" w:color="auto" w:fill="5B9BD5" w:themeFill="accent5"/>
          </w:tcPr>
          <w:p>
            <w:pPr>
              <w:widowControl/>
              <w:jc w:val="left"/>
              <w:rPr>
                <w:rFonts w:ascii="Times New Roman" w:hAnsi="Times New Roman" w:eastAsia="等线" w:cs="Times New Roman"/>
                <w:b w:val="0"/>
                <w:bCs w:val="0"/>
                <w:color w:val="000000"/>
                <w:kern w:val="0"/>
                <w:sz w:val="24"/>
                <w:szCs w:val="24"/>
              </w:rPr>
            </w:pPr>
          </w:p>
        </w:tc>
        <w:tc>
          <w:tcPr>
            <w:tcW w:w="2504" w:type="dxa"/>
            <w:shd w:val="clear" w:color="auto" w:fill="DEEAF6" w:themeFill="accent5" w:themeFillTint="33"/>
            <w:vAlign w:val="center"/>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其中：课堂育人满意度</w:t>
            </w:r>
          </w:p>
        </w:tc>
        <w:tc>
          <w:tcPr>
            <w:tcW w:w="731" w:type="dxa"/>
            <w:shd w:val="clear" w:color="auto" w:fill="DEEAF6" w:themeFill="accent5" w:themeFillTint="33"/>
            <w:vAlign w:val="center"/>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w:t>
            </w:r>
          </w:p>
        </w:tc>
        <w:tc>
          <w:tcPr>
            <w:tcW w:w="1031" w:type="dxa"/>
            <w:shd w:val="clear" w:color="auto" w:fill="DEEAF6" w:themeFill="accent5" w:themeFillTint="33"/>
            <w:vAlign w:val="center"/>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91.24</w:t>
            </w:r>
          </w:p>
        </w:tc>
        <w:tc>
          <w:tcPr>
            <w:tcW w:w="784" w:type="dxa"/>
            <w:shd w:val="clear" w:color="auto" w:fill="DEEAF6" w:themeFill="accent5" w:themeFillTint="33"/>
            <w:vAlign w:val="center"/>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3879</w:t>
            </w:r>
          </w:p>
        </w:tc>
        <w:tc>
          <w:tcPr>
            <w:tcW w:w="1304" w:type="dxa"/>
            <w:shd w:val="clear" w:color="auto" w:fill="DEEAF6" w:themeFill="accent5" w:themeFillTint="33"/>
            <w:vAlign w:val="center"/>
          </w:tcPr>
          <w:p>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网络问卷调查</w:t>
            </w:r>
          </w:p>
        </w:tc>
        <w:tc>
          <w:tcPr>
            <w:tcW w:w="776" w:type="dxa"/>
            <w:shd w:val="clear" w:color="auto" w:fill="DEEAF6" w:themeFill="accent5" w:themeFillTint="33"/>
            <w:vAlign w:val="center"/>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91.67</w:t>
            </w:r>
          </w:p>
        </w:tc>
        <w:tc>
          <w:tcPr>
            <w:tcW w:w="980" w:type="dxa"/>
            <w:shd w:val="clear" w:color="auto" w:fill="DEEAF6" w:themeFill="accent5" w:themeFillTint="33"/>
            <w:vAlign w:val="center"/>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5511</w:t>
            </w:r>
          </w:p>
        </w:tc>
        <w:tc>
          <w:tcPr>
            <w:tcW w:w="1334" w:type="dxa"/>
            <w:shd w:val="clear" w:color="auto" w:fill="DEEAF6" w:themeFill="accent5" w:themeFillTint="33"/>
            <w:vAlign w:val="center"/>
          </w:tcPr>
          <w:p>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网络问卷调查</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621" w:type="dxa"/>
            <w:vMerge w:val="continue"/>
            <w:tcBorders>
              <w:left w:val="single" w:color="CCE8CF" w:themeColor="background1" w:sz="4" w:space="0"/>
            </w:tcBorders>
            <w:shd w:val="clear" w:color="auto" w:fill="5B9BD5" w:themeFill="accent5"/>
          </w:tcPr>
          <w:p>
            <w:pPr>
              <w:widowControl/>
              <w:jc w:val="left"/>
              <w:rPr>
                <w:rFonts w:ascii="Times New Roman" w:hAnsi="Times New Roman" w:eastAsia="等线" w:cs="Times New Roman"/>
                <w:b w:val="0"/>
                <w:bCs w:val="0"/>
                <w:color w:val="000000"/>
                <w:kern w:val="0"/>
                <w:sz w:val="24"/>
                <w:szCs w:val="24"/>
              </w:rPr>
            </w:pPr>
          </w:p>
        </w:tc>
        <w:tc>
          <w:tcPr>
            <w:tcW w:w="2504" w:type="dxa"/>
            <w:shd w:val="clear" w:color="auto" w:fill="BDD6EE" w:themeFill="accent5" w:themeFillTint="66"/>
            <w:vAlign w:val="center"/>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课外育人满意度</w:t>
            </w:r>
          </w:p>
        </w:tc>
        <w:tc>
          <w:tcPr>
            <w:tcW w:w="731" w:type="dxa"/>
            <w:shd w:val="clear" w:color="auto" w:fill="BDD6EE" w:themeFill="accent5" w:themeFillTint="66"/>
            <w:vAlign w:val="center"/>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w:t>
            </w:r>
          </w:p>
        </w:tc>
        <w:tc>
          <w:tcPr>
            <w:tcW w:w="1031" w:type="dxa"/>
            <w:shd w:val="clear" w:color="auto" w:fill="BDD6EE" w:themeFill="accent5" w:themeFillTint="66"/>
            <w:vAlign w:val="center"/>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89.96</w:t>
            </w:r>
          </w:p>
        </w:tc>
        <w:tc>
          <w:tcPr>
            <w:tcW w:w="784" w:type="dxa"/>
            <w:shd w:val="clear" w:color="auto" w:fill="BDD6EE" w:themeFill="accent5" w:themeFillTint="66"/>
            <w:vAlign w:val="center"/>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3879</w:t>
            </w:r>
          </w:p>
        </w:tc>
        <w:tc>
          <w:tcPr>
            <w:tcW w:w="1304" w:type="dxa"/>
            <w:shd w:val="clear" w:color="auto" w:fill="BDD6EE" w:themeFill="accent5" w:themeFillTint="66"/>
            <w:vAlign w:val="center"/>
          </w:tcPr>
          <w:p>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网络问卷调查</w:t>
            </w:r>
          </w:p>
        </w:tc>
        <w:tc>
          <w:tcPr>
            <w:tcW w:w="776" w:type="dxa"/>
            <w:shd w:val="clear" w:color="auto" w:fill="BDD6EE" w:themeFill="accent5" w:themeFillTint="66"/>
            <w:vAlign w:val="center"/>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89.82</w:t>
            </w:r>
          </w:p>
        </w:tc>
        <w:tc>
          <w:tcPr>
            <w:tcW w:w="980" w:type="dxa"/>
            <w:shd w:val="clear" w:color="auto" w:fill="BDD6EE" w:themeFill="accent5" w:themeFillTint="66"/>
            <w:vAlign w:val="center"/>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5511</w:t>
            </w:r>
          </w:p>
        </w:tc>
        <w:tc>
          <w:tcPr>
            <w:tcW w:w="1334" w:type="dxa"/>
            <w:shd w:val="clear" w:color="auto" w:fill="BDD6EE" w:themeFill="accent5" w:themeFillTint="66"/>
            <w:vAlign w:val="center"/>
          </w:tcPr>
          <w:p>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网络问卷调查</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621" w:type="dxa"/>
            <w:vMerge w:val="continue"/>
            <w:tcBorders>
              <w:left w:val="single" w:color="CCE8CF" w:themeColor="background1" w:sz="4" w:space="0"/>
            </w:tcBorders>
            <w:shd w:val="clear" w:color="auto" w:fill="5B9BD5" w:themeFill="accent5"/>
          </w:tcPr>
          <w:p>
            <w:pPr>
              <w:widowControl/>
              <w:jc w:val="left"/>
              <w:rPr>
                <w:rFonts w:ascii="Times New Roman" w:hAnsi="Times New Roman" w:eastAsia="等线" w:cs="Times New Roman"/>
                <w:b w:val="0"/>
                <w:bCs w:val="0"/>
                <w:color w:val="000000"/>
                <w:kern w:val="0"/>
                <w:sz w:val="24"/>
                <w:szCs w:val="24"/>
              </w:rPr>
            </w:pPr>
          </w:p>
        </w:tc>
        <w:tc>
          <w:tcPr>
            <w:tcW w:w="2504" w:type="dxa"/>
            <w:shd w:val="clear" w:color="auto" w:fill="DEEAF6" w:themeFill="accent5" w:themeFillTint="33"/>
            <w:vAlign w:val="center"/>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思想政治课教学满意度</w:t>
            </w:r>
          </w:p>
        </w:tc>
        <w:tc>
          <w:tcPr>
            <w:tcW w:w="731" w:type="dxa"/>
            <w:shd w:val="clear" w:color="auto" w:fill="DEEAF6" w:themeFill="accent5" w:themeFillTint="33"/>
            <w:vAlign w:val="center"/>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w:t>
            </w:r>
          </w:p>
        </w:tc>
        <w:tc>
          <w:tcPr>
            <w:tcW w:w="1031" w:type="dxa"/>
            <w:shd w:val="clear" w:color="auto" w:fill="DEEAF6" w:themeFill="accent5" w:themeFillTint="33"/>
            <w:vAlign w:val="center"/>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91.37</w:t>
            </w:r>
          </w:p>
        </w:tc>
        <w:tc>
          <w:tcPr>
            <w:tcW w:w="784" w:type="dxa"/>
            <w:shd w:val="clear" w:color="auto" w:fill="DEEAF6" w:themeFill="accent5" w:themeFillTint="33"/>
            <w:vAlign w:val="center"/>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3879</w:t>
            </w:r>
          </w:p>
        </w:tc>
        <w:tc>
          <w:tcPr>
            <w:tcW w:w="1304" w:type="dxa"/>
            <w:shd w:val="clear" w:color="auto" w:fill="DEEAF6" w:themeFill="accent5" w:themeFillTint="33"/>
            <w:vAlign w:val="center"/>
          </w:tcPr>
          <w:p>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网络问卷调查</w:t>
            </w:r>
          </w:p>
        </w:tc>
        <w:tc>
          <w:tcPr>
            <w:tcW w:w="776" w:type="dxa"/>
            <w:shd w:val="clear" w:color="auto" w:fill="DEEAF6" w:themeFill="accent5" w:themeFillTint="33"/>
            <w:vAlign w:val="center"/>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91.91</w:t>
            </w:r>
          </w:p>
        </w:tc>
        <w:tc>
          <w:tcPr>
            <w:tcW w:w="980" w:type="dxa"/>
            <w:shd w:val="clear" w:color="auto" w:fill="DEEAF6" w:themeFill="accent5" w:themeFillTint="33"/>
            <w:vAlign w:val="center"/>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5511</w:t>
            </w:r>
          </w:p>
        </w:tc>
        <w:tc>
          <w:tcPr>
            <w:tcW w:w="1334" w:type="dxa"/>
            <w:shd w:val="clear" w:color="auto" w:fill="DEEAF6" w:themeFill="accent5" w:themeFillTint="33"/>
            <w:vAlign w:val="center"/>
          </w:tcPr>
          <w:p>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网络问卷调查</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621" w:type="dxa"/>
            <w:vMerge w:val="continue"/>
            <w:tcBorders>
              <w:left w:val="single" w:color="CCE8CF" w:themeColor="background1" w:sz="4" w:space="0"/>
            </w:tcBorders>
            <w:shd w:val="clear" w:color="auto" w:fill="5B9BD5" w:themeFill="accent5"/>
          </w:tcPr>
          <w:p>
            <w:pPr>
              <w:widowControl/>
              <w:jc w:val="left"/>
              <w:rPr>
                <w:rFonts w:ascii="Times New Roman" w:hAnsi="Times New Roman" w:eastAsia="等线" w:cs="Times New Roman"/>
                <w:b w:val="0"/>
                <w:bCs w:val="0"/>
                <w:color w:val="000000"/>
                <w:kern w:val="0"/>
                <w:sz w:val="24"/>
                <w:szCs w:val="24"/>
              </w:rPr>
            </w:pPr>
          </w:p>
        </w:tc>
        <w:tc>
          <w:tcPr>
            <w:tcW w:w="2504" w:type="dxa"/>
            <w:shd w:val="clear" w:color="auto" w:fill="BDD6EE" w:themeFill="accent5" w:themeFillTint="66"/>
            <w:vAlign w:val="center"/>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公共基础课（不含思想政治课）教学满意度</w:t>
            </w:r>
          </w:p>
        </w:tc>
        <w:tc>
          <w:tcPr>
            <w:tcW w:w="731" w:type="dxa"/>
            <w:shd w:val="clear" w:color="auto" w:fill="BDD6EE" w:themeFill="accent5" w:themeFillTint="66"/>
            <w:vAlign w:val="center"/>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w:t>
            </w:r>
          </w:p>
        </w:tc>
        <w:tc>
          <w:tcPr>
            <w:tcW w:w="1031" w:type="dxa"/>
            <w:shd w:val="clear" w:color="auto" w:fill="BDD6EE" w:themeFill="accent5" w:themeFillTint="66"/>
            <w:vAlign w:val="center"/>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91.25</w:t>
            </w:r>
          </w:p>
        </w:tc>
        <w:tc>
          <w:tcPr>
            <w:tcW w:w="784" w:type="dxa"/>
            <w:shd w:val="clear" w:color="auto" w:fill="BDD6EE" w:themeFill="accent5" w:themeFillTint="66"/>
            <w:vAlign w:val="center"/>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3879</w:t>
            </w:r>
          </w:p>
        </w:tc>
        <w:tc>
          <w:tcPr>
            <w:tcW w:w="1304" w:type="dxa"/>
            <w:shd w:val="clear" w:color="auto" w:fill="BDD6EE" w:themeFill="accent5" w:themeFillTint="66"/>
            <w:vAlign w:val="center"/>
          </w:tcPr>
          <w:p>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网络问卷调查</w:t>
            </w:r>
          </w:p>
        </w:tc>
        <w:tc>
          <w:tcPr>
            <w:tcW w:w="776" w:type="dxa"/>
            <w:shd w:val="clear" w:color="auto" w:fill="BDD6EE" w:themeFill="accent5" w:themeFillTint="66"/>
            <w:vAlign w:val="center"/>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91.76</w:t>
            </w:r>
          </w:p>
        </w:tc>
        <w:tc>
          <w:tcPr>
            <w:tcW w:w="980" w:type="dxa"/>
            <w:shd w:val="clear" w:color="auto" w:fill="BDD6EE" w:themeFill="accent5" w:themeFillTint="66"/>
            <w:vAlign w:val="center"/>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5511</w:t>
            </w:r>
          </w:p>
        </w:tc>
        <w:tc>
          <w:tcPr>
            <w:tcW w:w="1334" w:type="dxa"/>
            <w:shd w:val="clear" w:color="auto" w:fill="BDD6EE" w:themeFill="accent5" w:themeFillTint="66"/>
            <w:vAlign w:val="center"/>
          </w:tcPr>
          <w:p>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网络问卷调查</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621" w:type="dxa"/>
            <w:vMerge w:val="continue"/>
            <w:tcBorders>
              <w:left w:val="single" w:color="CCE8CF" w:themeColor="background1" w:sz="4" w:space="0"/>
            </w:tcBorders>
            <w:shd w:val="clear" w:color="auto" w:fill="5B9BD5" w:themeFill="accent5"/>
          </w:tcPr>
          <w:p>
            <w:pPr>
              <w:widowControl/>
              <w:jc w:val="left"/>
              <w:rPr>
                <w:rFonts w:ascii="Times New Roman" w:hAnsi="Times New Roman" w:eastAsia="等线" w:cs="Times New Roman"/>
                <w:b w:val="0"/>
                <w:bCs w:val="0"/>
                <w:color w:val="000000"/>
                <w:kern w:val="0"/>
                <w:sz w:val="24"/>
                <w:szCs w:val="24"/>
              </w:rPr>
            </w:pPr>
          </w:p>
        </w:tc>
        <w:tc>
          <w:tcPr>
            <w:tcW w:w="2504" w:type="dxa"/>
            <w:shd w:val="clear" w:color="auto" w:fill="DEEAF6" w:themeFill="accent5" w:themeFillTint="33"/>
            <w:vAlign w:val="center"/>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专业课教学满意度</w:t>
            </w:r>
          </w:p>
        </w:tc>
        <w:tc>
          <w:tcPr>
            <w:tcW w:w="731" w:type="dxa"/>
            <w:shd w:val="clear" w:color="auto" w:fill="DEEAF6" w:themeFill="accent5" w:themeFillTint="33"/>
            <w:vAlign w:val="center"/>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w:t>
            </w:r>
          </w:p>
        </w:tc>
        <w:tc>
          <w:tcPr>
            <w:tcW w:w="1031" w:type="dxa"/>
            <w:shd w:val="clear" w:color="auto" w:fill="DEEAF6" w:themeFill="accent5" w:themeFillTint="33"/>
            <w:vAlign w:val="center"/>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92.89</w:t>
            </w:r>
          </w:p>
        </w:tc>
        <w:tc>
          <w:tcPr>
            <w:tcW w:w="784" w:type="dxa"/>
            <w:shd w:val="clear" w:color="auto" w:fill="DEEAF6" w:themeFill="accent5" w:themeFillTint="33"/>
            <w:vAlign w:val="center"/>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3879</w:t>
            </w:r>
          </w:p>
        </w:tc>
        <w:tc>
          <w:tcPr>
            <w:tcW w:w="1304" w:type="dxa"/>
            <w:shd w:val="clear" w:color="auto" w:fill="DEEAF6" w:themeFill="accent5" w:themeFillTint="33"/>
            <w:vAlign w:val="center"/>
          </w:tcPr>
          <w:p>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网络问卷调查</w:t>
            </w:r>
          </w:p>
        </w:tc>
        <w:tc>
          <w:tcPr>
            <w:tcW w:w="776" w:type="dxa"/>
            <w:shd w:val="clear" w:color="auto" w:fill="DEEAF6" w:themeFill="accent5" w:themeFillTint="33"/>
            <w:vAlign w:val="center"/>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92.69</w:t>
            </w:r>
          </w:p>
        </w:tc>
        <w:tc>
          <w:tcPr>
            <w:tcW w:w="980" w:type="dxa"/>
            <w:shd w:val="clear" w:color="auto" w:fill="DEEAF6" w:themeFill="accent5" w:themeFillTint="33"/>
            <w:vAlign w:val="center"/>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5511</w:t>
            </w:r>
          </w:p>
        </w:tc>
        <w:tc>
          <w:tcPr>
            <w:tcW w:w="1334" w:type="dxa"/>
            <w:shd w:val="clear" w:color="auto" w:fill="DEEAF6" w:themeFill="accent5" w:themeFillTint="33"/>
            <w:vAlign w:val="center"/>
          </w:tcPr>
          <w:p>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网络问卷调查</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621" w:type="dxa"/>
            <w:vMerge w:val="restart"/>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2</w:t>
            </w:r>
          </w:p>
        </w:tc>
        <w:tc>
          <w:tcPr>
            <w:tcW w:w="2504" w:type="dxa"/>
            <w:shd w:val="clear" w:color="auto" w:fill="BDD6EE" w:themeFill="accent5" w:themeFillTint="66"/>
            <w:vAlign w:val="center"/>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毕业生满意度</w:t>
            </w:r>
          </w:p>
        </w:tc>
        <w:tc>
          <w:tcPr>
            <w:tcW w:w="731" w:type="dxa"/>
            <w:shd w:val="clear" w:color="auto" w:fill="BDD6EE" w:themeFill="accent5" w:themeFillTint="66"/>
            <w:vAlign w:val="center"/>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w:t>
            </w:r>
          </w:p>
        </w:tc>
        <w:tc>
          <w:tcPr>
            <w:tcW w:w="1031" w:type="dxa"/>
            <w:shd w:val="clear" w:color="auto" w:fill="BDD6EE" w:themeFill="accent5" w:themeFillTint="66"/>
            <w:vAlign w:val="center"/>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w:t>
            </w:r>
          </w:p>
        </w:tc>
        <w:tc>
          <w:tcPr>
            <w:tcW w:w="784" w:type="dxa"/>
            <w:shd w:val="clear" w:color="auto" w:fill="BDD6EE" w:themeFill="accent5" w:themeFillTint="66"/>
            <w:noWrap/>
            <w:vAlign w:val="center"/>
          </w:tcPr>
          <w:p>
            <w:pPr>
              <w:widowControl/>
              <w:jc w:val="center"/>
              <w:rPr>
                <w:rFonts w:ascii="仿宋_GB2312" w:hAnsi="等线" w:eastAsia="仿宋_GB2312" w:cs="宋体"/>
                <w:color w:val="000000"/>
                <w:kern w:val="0"/>
                <w:sz w:val="24"/>
                <w:szCs w:val="24"/>
              </w:rPr>
            </w:pPr>
          </w:p>
        </w:tc>
        <w:tc>
          <w:tcPr>
            <w:tcW w:w="1304" w:type="dxa"/>
            <w:shd w:val="clear" w:color="auto" w:fill="BDD6EE" w:themeFill="accent5" w:themeFillTint="66"/>
            <w:vAlign w:val="center"/>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w:t>
            </w:r>
          </w:p>
        </w:tc>
        <w:tc>
          <w:tcPr>
            <w:tcW w:w="776" w:type="dxa"/>
            <w:shd w:val="clear" w:color="auto" w:fill="BDD6EE" w:themeFill="accent5" w:themeFillTint="66"/>
            <w:vAlign w:val="center"/>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w:t>
            </w:r>
          </w:p>
        </w:tc>
        <w:tc>
          <w:tcPr>
            <w:tcW w:w="980" w:type="dxa"/>
            <w:shd w:val="clear" w:color="auto" w:fill="BDD6EE" w:themeFill="accent5" w:themeFillTint="66"/>
            <w:vAlign w:val="center"/>
          </w:tcPr>
          <w:p>
            <w:pPr>
              <w:widowControl/>
              <w:jc w:val="center"/>
              <w:rPr>
                <w:rFonts w:ascii="Times New Roman" w:hAnsi="Times New Roman" w:eastAsia="等线" w:cs="Times New Roman"/>
                <w:color w:val="000000"/>
                <w:kern w:val="0"/>
                <w:sz w:val="24"/>
                <w:szCs w:val="24"/>
              </w:rPr>
            </w:pPr>
          </w:p>
        </w:tc>
        <w:tc>
          <w:tcPr>
            <w:tcW w:w="1334" w:type="dxa"/>
            <w:shd w:val="clear" w:color="auto" w:fill="BDD6EE" w:themeFill="accent5" w:themeFillTint="66"/>
            <w:noWrap/>
            <w:vAlign w:val="center"/>
          </w:tcPr>
          <w:p>
            <w:pPr>
              <w:widowControl/>
              <w:jc w:val="center"/>
              <w:rPr>
                <w:rFonts w:ascii="等线" w:hAnsi="等线" w:eastAsia="等线" w:cs="宋体"/>
                <w:color w:val="000000"/>
                <w:kern w:val="0"/>
                <w:sz w:val="22"/>
              </w:rPr>
            </w:pPr>
            <w:r>
              <w:rPr>
                <w:rFonts w:hint="eastAsia" w:ascii="等线" w:hAnsi="等线" w:eastAsia="等线" w:cs="宋体"/>
                <w:color w:val="000000"/>
                <w:kern w:val="0"/>
                <w:sz w:val="22"/>
              </w:rPr>
              <w:t>——</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621" w:type="dxa"/>
            <w:vMerge w:val="continue"/>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p>
        </w:tc>
        <w:tc>
          <w:tcPr>
            <w:tcW w:w="2504" w:type="dxa"/>
            <w:shd w:val="clear" w:color="auto" w:fill="DEEAF6" w:themeFill="accent5" w:themeFillTint="33"/>
            <w:vAlign w:val="center"/>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其中：应届毕业生满意度</w:t>
            </w:r>
          </w:p>
        </w:tc>
        <w:tc>
          <w:tcPr>
            <w:tcW w:w="731" w:type="dxa"/>
            <w:shd w:val="clear" w:color="auto" w:fill="DEEAF6" w:themeFill="accent5" w:themeFillTint="33"/>
            <w:vAlign w:val="center"/>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w:t>
            </w:r>
          </w:p>
        </w:tc>
        <w:tc>
          <w:tcPr>
            <w:tcW w:w="1031" w:type="dxa"/>
            <w:shd w:val="clear" w:color="auto" w:fill="DEEAF6" w:themeFill="accent5" w:themeFillTint="33"/>
            <w:vAlign w:val="center"/>
          </w:tcPr>
          <w:p>
            <w:pPr>
              <w:widowControl/>
              <w:jc w:val="center"/>
              <w:rPr>
                <w:rFonts w:ascii="Times New Roman" w:hAnsi="Times New Roman" w:eastAsia="等线" w:cs="Times New Roman"/>
                <w:kern w:val="0"/>
                <w:sz w:val="24"/>
                <w:szCs w:val="24"/>
              </w:rPr>
            </w:pPr>
            <w:r>
              <w:rPr>
                <w:rFonts w:ascii="Times New Roman" w:hAnsi="Times New Roman" w:eastAsia="等线" w:cs="Times New Roman"/>
                <w:kern w:val="0"/>
                <w:sz w:val="24"/>
                <w:szCs w:val="24"/>
              </w:rPr>
              <w:t>95.57</w:t>
            </w:r>
          </w:p>
        </w:tc>
        <w:tc>
          <w:tcPr>
            <w:tcW w:w="784" w:type="dxa"/>
            <w:shd w:val="clear" w:color="auto" w:fill="DEEAF6" w:themeFill="accent5" w:themeFillTint="33"/>
            <w:vAlign w:val="center"/>
          </w:tcPr>
          <w:p>
            <w:pPr>
              <w:widowControl/>
              <w:jc w:val="center"/>
              <w:rPr>
                <w:rFonts w:ascii="Times New Roman" w:hAnsi="Times New Roman" w:eastAsia="等线" w:cs="Times New Roman"/>
                <w:kern w:val="0"/>
                <w:sz w:val="24"/>
                <w:szCs w:val="24"/>
              </w:rPr>
            </w:pPr>
            <w:r>
              <w:rPr>
                <w:rFonts w:ascii="Times New Roman" w:hAnsi="Times New Roman" w:eastAsia="等线" w:cs="Times New Roman"/>
                <w:kern w:val="0"/>
                <w:sz w:val="24"/>
                <w:szCs w:val="24"/>
              </w:rPr>
              <w:t>948</w:t>
            </w:r>
          </w:p>
        </w:tc>
        <w:tc>
          <w:tcPr>
            <w:tcW w:w="1304" w:type="dxa"/>
            <w:shd w:val="clear" w:color="auto" w:fill="DEEAF6" w:themeFill="accent5" w:themeFillTint="33"/>
            <w:vAlign w:val="center"/>
          </w:tcPr>
          <w:p>
            <w:pPr>
              <w:widowControl/>
              <w:jc w:val="center"/>
              <w:rPr>
                <w:rFonts w:ascii="Times New Roman" w:hAnsi="Times New Roman" w:eastAsia="等线" w:cs="Times New Roman"/>
                <w:kern w:val="0"/>
                <w:szCs w:val="21"/>
              </w:rPr>
            </w:pPr>
            <w:r>
              <w:rPr>
                <w:rFonts w:hint="eastAsia" w:ascii="Times New Roman" w:hAnsi="Times New Roman" w:eastAsia="等线" w:cs="Times New Roman"/>
                <w:kern w:val="0"/>
                <w:szCs w:val="21"/>
              </w:rPr>
              <w:t>问卷调查</w:t>
            </w:r>
          </w:p>
        </w:tc>
        <w:tc>
          <w:tcPr>
            <w:tcW w:w="776" w:type="dxa"/>
            <w:shd w:val="clear" w:color="auto" w:fill="DEEAF6" w:themeFill="accent5" w:themeFillTint="33"/>
            <w:vAlign w:val="center"/>
          </w:tcPr>
          <w:p>
            <w:pPr>
              <w:widowControl/>
              <w:jc w:val="center"/>
              <w:rPr>
                <w:rFonts w:ascii="Times New Roman" w:hAnsi="Times New Roman" w:eastAsia="等线" w:cs="Times New Roman"/>
                <w:kern w:val="0"/>
                <w:sz w:val="24"/>
                <w:szCs w:val="24"/>
              </w:rPr>
            </w:pPr>
            <w:r>
              <w:rPr>
                <w:rFonts w:ascii="Times New Roman" w:hAnsi="Times New Roman" w:eastAsia="等线" w:cs="Times New Roman"/>
                <w:kern w:val="0"/>
                <w:sz w:val="24"/>
                <w:szCs w:val="24"/>
              </w:rPr>
              <w:t>96.63</w:t>
            </w:r>
          </w:p>
        </w:tc>
        <w:tc>
          <w:tcPr>
            <w:tcW w:w="980" w:type="dxa"/>
            <w:shd w:val="clear" w:color="auto" w:fill="DEEAF6" w:themeFill="accent5" w:themeFillTint="33"/>
            <w:vAlign w:val="center"/>
          </w:tcPr>
          <w:p>
            <w:pPr>
              <w:widowControl/>
              <w:jc w:val="center"/>
              <w:rPr>
                <w:rFonts w:ascii="Times New Roman" w:hAnsi="Times New Roman" w:eastAsia="等线" w:cs="Times New Roman"/>
                <w:kern w:val="0"/>
                <w:sz w:val="24"/>
                <w:szCs w:val="24"/>
              </w:rPr>
            </w:pPr>
            <w:r>
              <w:rPr>
                <w:rFonts w:hint="eastAsia" w:ascii="Times New Roman" w:hAnsi="Times New Roman" w:eastAsia="等线" w:cs="Times New Roman"/>
                <w:kern w:val="0"/>
                <w:sz w:val="24"/>
                <w:szCs w:val="24"/>
              </w:rPr>
              <w:t>1</w:t>
            </w:r>
            <w:r>
              <w:rPr>
                <w:rFonts w:ascii="Times New Roman" w:hAnsi="Times New Roman" w:eastAsia="等线" w:cs="Times New Roman"/>
                <w:kern w:val="0"/>
                <w:sz w:val="24"/>
                <w:szCs w:val="24"/>
              </w:rPr>
              <w:t>10</w:t>
            </w:r>
          </w:p>
        </w:tc>
        <w:tc>
          <w:tcPr>
            <w:tcW w:w="1334" w:type="dxa"/>
            <w:shd w:val="clear" w:color="auto" w:fill="DEEAF6" w:themeFill="accent5" w:themeFillTint="33"/>
            <w:vAlign w:val="center"/>
          </w:tcPr>
          <w:p>
            <w:pPr>
              <w:widowControl/>
              <w:jc w:val="center"/>
              <w:rPr>
                <w:rFonts w:ascii="Times New Roman" w:hAnsi="Times New Roman" w:eastAsia="等线" w:cs="Times New Roman"/>
                <w:color w:val="000000"/>
                <w:kern w:val="0"/>
                <w:sz w:val="24"/>
                <w:szCs w:val="24"/>
              </w:rPr>
            </w:pPr>
            <w:r>
              <w:rPr>
                <w:rFonts w:hint="eastAsia" w:ascii="Times New Roman" w:hAnsi="Times New Roman" w:eastAsia="等线" w:cs="Times New Roman"/>
                <w:color w:val="000000"/>
                <w:kern w:val="0"/>
                <w:szCs w:val="21"/>
              </w:rPr>
              <w:t>问卷调查</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621" w:type="dxa"/>
            <w:vMerge w:val="continue"/>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p>
        </w:tc>
        <w:tc>
          <w:tcPr>
            <w:tcW w:w="2504" w:type="dxa"/>
            <w:shd w:val="clear" w:color="auto" w:fill="BDD6EE" w:themeFill="accent5" w:themeFillTint="66"/>
            <w:vAlign w:val="center"/>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毕业三年内毕业生满意度</w:t>
            </w:r>
          </w:p>
        </w:tc>
        <w:tc>
          <w:tcPr>
            <w:tcW w:w="731" w:type="dxa"/>
            <w:shd w:val="clear" w:color="auto" w:fill="BDD6EE" w:themeFill="accent5" w:themeFillTint="66"/>
            <w:vAlign w:val="center"/>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w:t>
            </w:r>
          </w:p>
        </w:tc>
        <w:tc>
          <w:tcPr>
            <w:tcW w:w="1031" w:type="dxa"/>
            <w:shd w:val="clear" w:color="auto" w:fill="BDD6EE" w:themeFill="accent5" w:themeFillTint="66"/>
            <w:vAlign w:val="center"/>
          </w:tcPr>
          <w:p>
            <w:pPr>
              <w:widowControl/>
              <w:jc w:val="center"/>
              <w:rPr>
                <w:rFonts w:ascii="Times New Roman" w:hAnsi="Times New Roman" w:eastAsia="等线" w:cs="Times New Roman"/>
                <w:kern w:val="0"/>
                <w:sz w:val="24"/>
                <w:szCs w:val="24"/>
              </w:rPr>
            </w:pPr>
          </w:p>
        </w:tc>
        <w:tc>
          <w:tcPr>
            <w:tcW w:w="784" w:type="dxa"/>
            <w:shd w:val="clear" w:color="auto" w:fill="BDD6EE" w:themeFill="accent5" w:themeFillTint="66"/>
            <w:vAlign w:val="center"/>
          </w:tcPr>
          <w:p>
            <w:pPr>
              <w:widowControl/>
              <w:jc w:val="center"/>
              <w:rPr>
                <w:rFonts w:ascii="Times New Roman" w:hAnsi="Times New Roman" w:eastAsia="等线" w:cs="Times New Roman"/>
                <w:kern w:val="0"/>
                <w:sz w:val="24"/>
                <w:szCs w:val="24"/>
              </w:rPr>
            </w:pPr>
          </w:p>
        </w:tc>
        <w:tc>
          <w:tcPr>
            <w:tcW w:w="1304" w:type="dxa"/>
            <w:shd w:val="clear" w:color="auto" w:fill="BDD6EE" w:themeFill="accent5" w:themeFillTint="66"/>
            <w:vAlign w:val="center"/>
          </w:tcPr>
          <w:p>
            <w:pPr>
              <w:widowControl/>
              <w:jc w:val="center"/>
              <w:rPr>
                <w:rFonts w:ascii="Times New Roman" w:hAnsi="Times New Roman" w:eastAsia="等线" w:cs="Times New Roman"/>
                <w:kern w:val="0"/>
                <w:sz w:val="24"/>
                <w:szCs w:val="24"/>
              </w:rPr>
            </w:pPr>
          </w:p>
        </w:tc>
        <w:tc>
          <w:tcPr>
            <w:tcW w:w="776" w:type="dxa"/>
            <w:shd w:val="clear" w:color="auto" w:fill="BDD6EE" w:themeFill="accent5" w:themeFillTint="66"/>
            <w:vAlign w:val="center"/>
          </w:tcPr>
          <w:p>
            <w:pPr>
              <w:widowControl/>
              <w:jc w:val="center"/>
              <w:rPr>
                <w:rFonts w:ascii="Times New Roman" w:hAnsi="Times New Roman" w:eastAsia="等线" w:cs="Times New Roman"/>
                <w:kern w:val="0"/>
                <w:sz w:val="24"/>
                <w:szCs w:val="24"/>
              </w:rPr>
            </w:pPr>
            <w:r>
              <w:rPr>
                <w:rFonts w:ascii="Times New Roman" w:hAnsi="Times New Roman" w:eastAsia="等线" w:cs="Times New Roman"/>
                <w:kern w:val="0"/>
                <w:sz w:val="24"/>
                <w:szCs w:val="24"/>
              </w:rPr>
              <w:t>89.68</w:t>
            </w:r>
          </w:p>
        </w:tc>
        <w:tc>
          <w:tcPr>
            <w:tcW w:w="980" w:type="dxa"/>
            <w:shd w:val="clear" w:color="auto" w:fill="BDD6EE" w:themeFill="accent5" w:themeFillTint="66"/>
            <w:vAlign w:val="center"/>
          </w:tcPr>
          <w:p>
            <w:pPr>
              <w:widowControl/>
              <w:jc w:val="center"/>
              <w:rPr>
                <w:rFonts w:ascii="Times New Roman" w:hAnsi="Times New Roman" w:eastAsia="等线" w:cs="Times New Roman"/>
                <w:kern w:val="0"/>
                <w:sz w:val="24"/>
                <w:szCs w:val="24"/>
              </w:rPr>
            </w:pPr>
            <w:r>
              <w:rPr>
                <w:rFonts w:ascii="Times New Roman" w:hAnsi="Times New Roman" w:eastAsia="等线" w:cs="Times New Roman"/>
                <w:kern w:val="0"/>
                <w:sz w:val="24"/>
                <w:szCs w:val="24"/>
              </w:rPr>
              <w:t>310</w:t>
            </w:r>
          </w:p>
        </w:tc>
        <w:tc>
          <w:tcPr>
            <w:tcW w:w="1334" w:type="dxa"/>
            <w:shd w:val="clear" w:color="auto" w:fill="BDD6EE" w:themeFill="accent5" w:themeFillTint="66"/>
            <w:noWrap/>
            <w:vAlign w:val="center"/>
          </w:tcPr>
          <w:p>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短信调查</w:t>
            </w:r>
          </w:p>
          <w:p>
            <w:pPr>
              <w:widowControl/>
              <w:jc w:val="center"/>
              <w:rPr>
                <w:rFonts w:ascii="等线" w:hAnsi="等线" w:eastAsia="等线" w:cs="宋体"/>
                <w:color w:val="000000"/>
                <w:kern w:val="0"/>
                <w:sz w:val="22"/>
              </w:rPr>
            </w:pP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621" w:type="dxa"/>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3</w:t>
            </w:r>
          </w:p>
        </w:tc>
        <w:tc>
          <w:tcPr>
            <w:tcW w:w="2504" w:type="dxa"/>
            <w:shd w:val="clear" w:color="auto" w:fill="DEEAF6" w:themeFill="accent5" w:themeFillTint="33"/>
            <w:vAlign w:val="center"/>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教职工满意度</w:t>
            </w:r>
          </w:p>
        </w:tc>
        <w:tc>
          <w:tcPr>
            <w:tcW w:w="731" w:type="dxa"/>
            <w:shd w:val="clear" w:color="auto" w:fill="DEEAF6" w:themeFill="accent5" w:themeFillTint="33"/>
            <w:vAlign w:val="center"/>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w:t>
            </w:r>
          </w:p>
        </w:tc>
        <w:tc>
          <w:tcPr>
            <w:tcW w:w="1031" w:type="dxa"/>
            <w:shd w:val="clear" w:color="auto" w:fill="DEEAF6" w:themeFill="accent5" w:themeFillTint="33"/>
            <w:vAlign w:val="center"/>
          </w:tcPr>
          <w:p>
            <w:pPr>
              <w:widowControl/>
              <w:jc w:val="center"/>
              <w:rPr>
                <w:rFonts w:ascii="Times New Roman" w:hAnsi="Times New Roman" w:eastAsia="等线" w:cs="Times New Roman"/>
                <w:kern w:val="0"/>
                <w:sz w:val="24"/>
                <w:szCs w:val="24"/>
              </w:rPr>
            </w:pPr>
            <w:r>
              <w:rPr>
                <w:rFonts w:ascii="Times New Roman" w:hAnsi="Times New Roman" w:eastAsia="等线" w:cs="Times New Roman"/>
                <w:kern w:val="0"/>
                <w:sz w:val="24"/>
                <w:szCs w:val="24"/>
              </w:rPr>
              <w:t>98.20</w:t>
            </w:r>
          </w:p>
        </w:tc>
        <w:tc>
          <w:tcPr>
            <w:tcW w:w="784" w:type="dxa"/>
            <w:shd w:val="clear" w:color="auto" w:fill="DEEAF6" w:themeFill="accent5" w:themeFillTint="33"/>
            <w:vAlign w:val="center"/>
          </w:tcPr>
          <w:p>
            <w:pPr>
              <w:widowControl/>
              <w:jc w:val="center"/>
              <w:rPr>
                <w:rFonts w:ascii="Times New Roman" w:hAnsi="Times New Roman" w:eastAsia="等线" w:cs="Times New Roman"/>
                <w:kern w:val="0"/>
                <w:sz w:val="24"/>
                <w:szCs w:val="24"/>
              </w:rPr>
            </w:pPr>
            <w:r>
              <w:rPr>
                <w:rFonts w:ascii="Times New Roman" w:hAnsi="Times New Roman" w:eastAsia="等线" w:cs="Times New Roman"/>
                <w:kern w:val="0"/>
                <w:sz w:val="24"/>
                <w:szCs w:val="24"/>
              </w:rPr>
              <w:t>168</w:t>
            </w:r>
          </w:p>
        </w:tc>
        <w:tc>
          <w:tcPr>
            <w:tcW w:w="1304" w:type="dxa"/>
            <w:shd w:val="clear" w:color="auto" w:fill="DEEAF6" w:themeFill="accent5" w:themeFillTint="33"/>
            <w:vAlign w:val="center"/>
          </w:tcPr>
          <w:p>
            <w:pPr>
              <w:widowControl/>
              <w:jc w:val="center"/>
              <w:rPr>
                <w:rFonts w:ascii="微软雅黑" w:hAnsi="微软雅黑" w:eastAsia="微软雅黑" w:cs="宋体"/>
                <w:kern w:val="0"/>
                <w:szCs w:val="21"/>
              </w:rPr>
            </w:pPr>
            <w:r>
              <w:rPr>
                <w:rFonts w:hint="eastAsia" w:ascii="Times New Roman" w:hAnsi="Times New Roman" w:eastAsia="等线" w:cs="Times New Roman"/>
                <w:kern w:val="0"/>
                <w:szCs w:val="21"/>
              </w:rPr>
              <w:t>纸质调查</w:t>
            </w:r>
          </w:p>
        </w:tc>
        <w:tc>
          <w:tcPr>
            <w:tcW w:w="776" w:type="dxa"/>
            <w:shd w:val="clear" w:color="auto" w:fill="DEEAF6" w:themeFill="accent5" w:themeFillTint="33"/>
            <w:vAlign w:val="center"/>
          </w:tcPr>
          <w:p>
            <w:pPr>
              <w:widowControl/>
              <w:jc w:val="center"/>
              <w:rPr>
                <w:rFonts w:ascii="Times New Roman" w:hAnsi="Times New Roman" w:eastAsia="等线" w:cs="Times New Roman"/>
                <w:kern w:val="0"/>
                <w:sz w:val="24"/>
                <w:szCs w:val="24"/>
              </w:rPr>
            </w:pPr>
            <w:r>
              <w:rPr>
                <w:rFonts w:ascii="Times New Roman" w:hAnsi="Times New Roman" w:eastAsia="等线" w:cs="Times New Roman"/>
                <w:kern w:val="0"/>
                <w:sz w:val="24"/>
                <w:szCs w:val="24"/>
              </w:rPr>
              <w:t>98.90</w:t>
            </w:r>
          </w:p>
        </w:tc>
        <w:tc>
          <w:tcPr>
            <w:tcW w:w="980" w:type="dxa"/>
            <w:shd w:val="clear" w:color="auto" w:fill="DEEAF6" w:themeFill="accent5" w:themeFillTint="33"/>
            <w:vAlign w:val="center"/>
          </w:tcPr>
          <w:p>
            <w:pPr>
              <w:widowControl/>
              <w:jc w:val="center"/>
              <w:rPr>
                <w:rFonts w:ascii="Times New Roman" w:hAnsi="Times New Roman" w:eastAsia="等线" w:cs="Times New Roman"/>
                <w:kern w:val="0"/>
                <w:sz w:val="24"/>
                <w:szCs w:val="24"/>
              </w:rPr>
            </w:pPr>
            <w:r>
              <w:rPr>
                <w:rFonts w:ascii="Times New Roman" w:hAnsi="Times New Roman" w:eastAsia="等线" w:cs="Times New Roman"/>
                <w:kern w:val="0"/>
                <w:sz w:val="24"/>
                <w:szCs w:val="24"/>
              </w:rPr>
              <w:t>177</w:t>
            </w:r>
          </w:p>
        </w:tc>
        <w:tc>
          <w:tcPr>
            <w:tcW w:w="1334" w:type="dxa"/>
            <w:shd w:val="clear" w:color="auto" w:fill="DEEAF6" w:themeFill="accent5" w:themeFillTint="33"/>
            <w:vAlign w:val="center"/>
          </w:tcPr>
          <w:p>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网络问卷调查</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621" w:type="dxa"/>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4</w:t>
            </w:r>
          </w:p>
        </w:tc>
        <w:tc>
          <w:tcPr>
            <w:tcW w:w="2504" w:type="dxa"/>
            <w:shd w:val="clear" w:color="auto" w:fill="BDD6EE" w:themeFill="accent5" w:themeFillTint="66"/>
            <w:vAlign w:val="center"/>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用人单位满意度</w:t>
            </w:r>
          </w:p>
        </w:tc>
        <w:tc>
          <w:tcPr>
            <w:tcW w:w="731" w:type="dxa"/>
            <w:shd w:val="clear" w:color="auto" w:fill="BDD6EE" w:themeFill="accent5" w:themeFillTint="66"/>
            <w:vAlign w:val="center"/>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w:t>
            </w:r>
          </w:p>
        </w:tc>
        <w:tc>
          <w:tcPr>
            <w:tcW w:w="1031" w:type="dxa"/>
            <w:shd w:val="clear" w:color="auto" w:fill="BDD6EE" w:themeFill="accent5" w:themeFillTint="66"/>
            <w:vAlign w:val="center"/>
          </w:tcPr>
          <w:p>
            <w:pPr>
              <w:widowControl/>
              <w:jc w:val="center"/>
              <w:rPr>
                <w:rFonts w:ascii="Times New Roman" w:hAnsi="Times New Roman" w:eastAsia="等线" w:cs="Times New Roman"/>
                <w:kern w:val="0"/>
                <w:sz w:val="24"/>
                <w:szCs w:val="24"/>
              </w:rPr>
            </w:pPr>
            <w:r>
              <w:rPr>
                <w:rFonts w:ascii="Times New Roman" w:hAnsi="Times New Roman" w:eastAsia="等线" w:cs="Times New Roman"/>
                <w:kern w:val="0"/>
                <w:sz w:val="24"/>
                <w:szCs w:val="24"/>
              </w:rPr>
              <w:t>98.31</w:t>
            </w:r>
          </w:p>
        </w:tc>
        <w:tc>
          <w:tcPr>
            <w:tcW w:w="784" w:type="dxa"/>
            <w:shd w:val="clear" w:color="auto" w:fill="BDD6EE" w:themeFill="accent5" w:themeFillTint="66"/>
            <w:vAlign w:val="center"/>
          </w:tcPr>
          <w:p>
            <w:pPr>
              <w:widowControl/>
              <w:jc w:val="center"/>
              <w:rPr>
                <w:rFonts w:ascii="Times New Roman" w:hAnsi="Times New Roman" w:eastAsia="等线" w:cs="Times New Roman"/>
                <w:kern w:val="0"/>
                <w:sz w:val="24"/>
                <w:szCs w:val="24"/>
              </w:rPr>
            </w:pPr>
            <w:r>
              <w:rPr>
                <w:rFonts w:ascii="Times New Roman" w:hAnsi="Times New Roman" w:eastAsia="等线" w:cs="Times New Roman"/>
                <w:kern w:val="0"/>
                <w:sz w:val="24"/>
                <w:szCs w:val="24"/>
              </w:rPr>
              <w:t>59</w:t>
            </w:r>
          </w:p>
        </w:tc>
        <w:tc>
          <w:tcPr>
            <w:tcW w:w="1304" w:type="dxa"/>
            <w:shd w:val="clear" w:color="auto" w:fill="BDD6EE" w:themeFill="accent5" w:themeFillTint="66"/>
            <w:vAlign w:val="center"/>
          </w:tcPr>
          <w:p>
            <w:pPr>
              <w:widowControl/>
              <w:jc w:val="center"/>
              <w:rPr>
                <w:rFonts w:ascii="Times New Roman" w:hAnsi="Times New Roman" w:eastAsia="等线" w:cs="Times New Roman"/>
                <w:kern w:val="0"/>
                <w:sz w:val="18"/>
                <w:szCs w:val="18"/>
              </w:rPr>
            </w:pPr>
            <w:r>
              <w:rPr>
                <w:rFonts w:hint="eastAsia" w:ascii="宋体" w:hAnsi="宋体" w:eastAsia="宋体" w:cs="宋体"/>
                <w:kern w:val="0"/>
                <w:sz w:val="20"/>
                <w:szCs w:val="20"/>
              </w:rPr>
              <w:t>企业走访</w:t>
            </w:r>
          </w:p>
        </w:tc>
        <w:tc>
          <w:tcPr>
            <w:tcW w:w="776" w:type="dxa"/>
            <w:shd w:val="clear" w:color="auto" w:fill="BDD6EE" w:themeFill="accent5" w:themeFillTint="66"/>
            <w:vAlign w:val="center"/>
          </w:tcPr>
          <w:p>
            <w:pPr>
              <w:widowControl/>
              <w:jc w:val="center"/>
              <w:rPr>
                <w:rFonts w:ascii="Times New Roman" w:hAnsi="Times New Roman" w:eastAsia="等线" w:cs="Times New Roman"/>
                <w:kern w:val="0"/>
                <w:sz w:val="24"/>
                <w:szCs w:val="24"/>
              </w:rPr>
            </w:pPr>
            <w:r>
              <w:rPr>
                <w:rFonts w:ascii="Times New Roman" w:hAnsi="Times New Roman" w:eastAsia="等线" w:cs="Times New Roman"/>
                <w:kern w:val="0"/>
                <w:sz w:val="24"/>
                <w:szCs w:val="24"/>
              </w:rPr>
              <w:t>98.81</w:t>
            </w:r>
          </w:p>
        </w:tc>
        <w:tc>
          <w:tcPr>
            <w:tcW w:w="980" w:type="dxa"/>
            <w:shd w:val="clear" w:color="auto" w:fill="BDD6EE" w:themeFill="accent5" w:themeFillTint="66"/>
            <w:vAlign w:val="center"/>
          </w:tcPr>
          <w:p>
            <w:pPr>
              <w:widowControl/>
              <w:jc w:val="center"/>
              <w:rPr>
                <w:rFonts w:ascii="Times New Roman" w:hAnsi="Times New Roman" w:eastAsia="等线" w:cs="Times New Roman"/>
                <w:kern w:val="0"/>
                <w:sz w:val="24"/>
                <w:szCs w:val="24"/>
              </w:rPr>
            </w:pPr>
            <w:r>
              <w:rPr>
                <w:rFonts w:hint="eastAsia" w:ascii="Times New Roman" w:hAnsi="Times New Roman" w:eastAsia="等线" w:cs="Times New Roman"/>
                <w:kern w:val="0"/>
                <w:sz w:val="24"/>
                <w:szCs w:val="24"/>
              </w:rPr>
              <w:t>1</w:t>
            </w:r>
            <w:r>
              <w:rPr>
                <w:rFonts w:ascii="Times New Roman" w:hAnsi="Times New Roman" w:eastAsia="等线" w:cs="Times New Roman"/>
                <w:kern w:val="0"/>
                <w:sz w:val="24"/>
                <w:szCs w:val="24"/>
              </w:rPr>
              <w:t>32</w:t>
            </w:r>
          </w:p>
        </w:tc>
        <w:tc>
          <w:tcPr>
            <w:tcW w:w="1334" w:type="dxa"/>
            <w:shd w:val="clear" w:color="auto" w:fill="BDD6EE" w:themeFill="accent5" w:themeFillTint="66"/>
            <w:vAlign w:val="center"/>
          </w:tcPr>
          <w:p>
            <w:pPr>
              <w:widowControl/>
              <w:jc w:val="center"/>
              <w:rPr>
                <w:rFonts w:ascii="Times New Roman" w:hAnsi="Times New Roman" w:eastAsia="等线" w:cs="Times New Roman"/>
                <w:color w:val="000000"/>
                <w:kern w:val="0"/>
                <w:sz w:val="24"/>
                <w:szCs w:val="24"/>
              </w:rPr>
            </w:pPr>
            <w:r>
              <w:rPr>
                <w:rFonts w:hint="eastAsia" w:ascii="宋体" w:hAnsi="宋体" w:eastAsia="宋体" w:cs="宋体"/>
                <w:color w:val="000000"/>
                <w:kern w:val="0"/>
                <w:sz w:val="20"/>
                <w:szCs w:val="20"/>
              </w:rPr>
              <w:t>企业走访</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621" w:type="dxa"/>
            <w:tcBorders>
              <w:left w:val="single" w:color="CCE8CF" w:themeColor="background1" w:sz="4" w:space="0"/>
              <w:bottom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5</w:t>
            </w:r>
          </w:p>
        </w:tc>
        <w:tc>
          <w:tcPr>
            <w:tcW w:w="2504" w:type="dxa"/>
            <w:shd w:val="clear" w:color="auto" w:fill="DEEAF6" w:themeFill="accent5" w:themeFillTint="33"/>
            <w:vAlign w:val="center"/>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家长满意度</w:t>
            </w:r>
          </w:p>
        </w:tc>
        <w:tc>
          <w:tcPr>
            <w:tcW w:w="731" w:type="dxa"/>
            <w:shd w:val="clear" w:color="auto" w:fill="DEEAF6" w:themeFill="accent5" w:themeFillTint="33"/>
            <w:vAlign w:val="center"/>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w:t>
            </w:r>
          </w:p>
        </w:tc>
        <w:tc>
          <w:tcPr>
            <w:tcW w:w="1031" w:type="dxa"/>
            <w:shd w:val="clear" w:color="auto" w:fill="DEEAF6" w:themeFill="accent5" w:themeFillTint="33"/>
            <w:vAlign w:val="center"/>
          </w:tcPr>
          <w:p>
            <w:pPr>
              <w:widowControl/>
              <w:jc w:val="center"/>
              <w:rPr>
                <w:rFonts w:ascii="Times New Roman" w:hAnsi="Times New Roman" w:eastAsia="等线" w:cs="Times New Roman"/>
                <w:kern w:val="0"/>
                <w:sz w:val="24"/>
                <w:szCs w:val="24"/>
              </w:rPr>
            </w:pPr>
          </w:p>
        </w:tc>
        <w:tc>
          <w:tcPr>
            <w:tcW w:w="784" w:type="dxa"/>
            <w:shd w:val="clear" w:color="auto" w:fill="DEEAF6" w:themeFill="accent5" w:themeFillTint="33"/>
            <w:vAlign w:val="center"/>
          </w:tcPr>
          <w:p>
            <w:pPr>
              <w:widowControl/>
              <w:jc w:val="center"/>
              <w:rPr>
                <w:rFonts w:ascii="Times New Roman" w:hAnsi="Times New Roman" w:eastAsia="等线" w:cs="Times New Roman"/>
                <w:kern w:val="0"/>
                <w:sz w:val="24"/>
                <w:szCs w:val="24"/>
              </w:rPr>
            </w:pPr>
          </w:p>
        </w:tc>
        <w:tc>
          <w:tcPr>
            <w:tcW w:w="1304" w:type="dxa"/>
            <w:shd w:val="clear" w:color="auto" w:fill="DEEAF6" w:themeFill="accent5" w:themeFillTint="33"/>
            <w:vAlign w:val="center"/>
          </w:tcPr>
          <w:p>
            <w:pPr>
              <w:widowControl/>
              <w:jc w:val="center"/>
              <w:rPr>
                <w:rFonts w:ascii="Times New Roman" w:hAnsi="Times New Roman" w:eastAsia="等线" w:cs="Times New Roman"/>
                <w:kern w:val="0"/>
                <w:sz w:val="24"/>
                <w:szCs w:val="24"/>
              </w:rPr>
            </w:pPr>
          </w:p>
        </w:tc>
        <w:tc>
          <w:tcPr>
            <w:tcW w:w="776" w:type="dxa"/>
            <w:shd w:val="clear" w:color="auto" w:fill="DEEAF6" w:themeFill="accent5" w:themeFillTint="33"/>
            <w:vAlign w:val="center"/>
          </w:tcPr>
          <w:p>
            <w:pPr>
              <w:widowControl/>
              <w:jc w:val="center"/>
              <w:rPr>
                <w:rFonts w:ascii="Times New Roman" w:hAnsi="Times New Roman" w:eastAsia="等线" w:cs="Times New Roman"/>
                <w:kern w:val="0"/>
                <w:sz w:val="24"/>
                <w:szCs w:val="24"/>
              </w:rPr>
            </w:pPr>
            <w:r>
              <w:rPr>
                <w:rFonts w:ascii="Times New Roman" w:hAnsi="Times New Roman" w:eastAsia="等线" w:cs="Times New Roman"/>
                <w:kern w:val="0"/>
                <w:sz w:val="24"/>
                <w:szCs w:val="24"/>
              </w:rPr>
              <w:t>92.72</w:t>
            </w:r>
          </w:p>
        </w:tc>
        <w:tc>
          <w:tcPr>
            <w:tcW w:w="980" w:type="dxa"/>
            <w:shd w:val="clear" w:color="auto" w:fill="DEEAF6" w:themeFill="accent5" w:themeFillTint="33"/>
            <w:vAlign w:val="center"/>
          </w:tcPr>
          <w:p>
            <w:pPr>
              <w:widowControl/>
              <w:jc w:val="center"/>
              <w:rPr>
                <w:rFonts w:ascii="Times New Roman" w:hAnsi="Times New Roman" w:eastAsia="等线" w:cs="Times New Roman"/>
                <w:kern w:val="0"/>
                <w:sz w:val="24"/>
                <w:szCs w:val="24"/>
              </w:rPr>
            </w:pPr>
            <w:r>
              <w:rPr>
                <w:rFonts w:ascii="Times New Roman" w:hAnsi="Times New Roman" w:eastAsia="等线" w:cs="Times New Roman"/>
                <w:kern w:val="0"/>
                <w:sz w:val="24"/>
                <w:szCs w:val="24"/>
              </w:rPr>
              <w:t>151</w:t>
            </w:r>
          </w:p>
        </w:tc>
        <w:tc>
          <w:tcPr>
            <w:tcW w:w="1334" w:type="dxa"/>
            <w:shd w:val="clear" w:color="auto" w:fill="DEEAF6" w:themeFill="accent5" w:themeFillTint="33"/>
            <w:vAlign w:val="center"/>
          </w:tcPr>
          <w:p>
            <w:pPr>
              <w:widowControl/>
              <w:jc w:val="center"/>
              <w:rPr>
                <w:rFonts w:ascii="Times New Roman" w:hAnsi="Times New Roman" w:eastAsia="等线" w:cs="Times New Roman"/>
                <w:color w:val="000000"/>
                <w:kern w:val="0"/>
                <w:szCs w:val="21"/>
              </w:rPr>
            </w:pPr>
            <w:r>
              <w:rPr>
                <w:rFonts w:hint="eastAsia" w:ascii="宋体" w:hAnsi="宋体" w:eastAsia="宋体" w:cs="宋体"/>
                <w:color w:val="000000"/>
                <w:kern w:val="0"/>
                <w:sz w:val="20"/>
                <w:szCs w:val="20"/>
              </w:rPr>
              <w:t>短信调查</w:t>
            </w:r>
          </w:p>
        </w:tc>
      </w:tr>
    </w:tbl>
    <w:p>
      <w:pPr>
        <w:adjustRightInd w:val="0"/>
        <w:snapToGrid w:val="0"/>
        <w:spacing w:line="360" w:lineRule="auto"/>
        <w:ind w:firstLine="560" w:firstLineChars="200"/>
        <w:rPr>
          <w:rFonts w:ascii="仿宋" w:hAnsi="仿宋" w:eastAsia="仿宋"/>
          <w:sz w:val="28"/>
          <w:szCs w:val="28"/>
        </w:rPr>
      </w:pPr>
      <w:bookmarkStart w:id="79" w:name="_Toc500492285"/>
      <w:r>
        <w:rPr>
          <w:rFonts w:hint="eastAsia" w:ascii="仿宋" w:hAnsi="仿宋" w:eastAsia="仿宋"/>
          <w:sz w:val="28"/>
          <w:szCs w:val="28"/>
        </w:rPr>
        <w:t>学校文化活动丰富多彩</w:t>
      </w:r>
      <w:bookmarkEnd w:id="79"/>
      <w:r>
        <w:rPr>
          <w:rFonts w:hint="eastAsia" w:ascii="仿宋" w:hAnsi="仿宋" w:eastAsia="仿宋"/>
          <w:sz w:val="28"/>
          <w:szCs w:val="28"/>
        </w:rPr>
        <w:t>，主题明确 ，校内外合作，参与性强，激发了学生的学习热情，培养了学生的综合素养，营造了良好的校园文化氛围。学</w:t>
      </w:r>
      <w:r>
        <w:rPr>
          <w:rFonts w:ascii="仿宋" w:hAnsi="仿宋" w:eastAsia="仿宋"/>
          <w:sz w:val="28"/>
          <w:szCs w:val="28"/>
        </w:rPr>
        <w:t>校举行辅导员疫情期间大学生心理危机干预工作能力专题培训</w:t>
      </w:r>
      <w:r>
        <w:rPr>
          <w:rFonts w:hint="eastAsia" w:ascii="仿宋" w:hAnsi="仿宋" w:eastAsia="仿宋"/>
          <w:sz w:val="28"/>
          <w:szCs w:val="28"/>
        </w:rPr>
        <w:t>；</w:t>
      </w:r>
      <w:r>
        <w:rPr>
          <w:rFonts w:ascii="仿宋" w:hAnsi="仿宋" w:eastAsia="仿宋"/>
          <w:sz w:val="28"/>
          <w:szCs w:val="28"/>
        </w:rPr>
        <w:t>开展“居安思危 防患未“燃”主题消防演练活动</w:t>
      </w:r>
      <w:r>
        <w:rPr>
          <w:rFonts w:hint="eastAsia" w:ascii="仿宋" w:hAnsi="仿宋" w:eastAsia="仿宋"/>
          <w:sz w:val="28"/>
          <w:szCs w:val="28"/>
        </w:rPr>
        <w:t>；疫情锻炼不停歇，健康不负好春光。为增强学生强心健体意识，丰富学生居家线上学习的课余生活，提高学生的身体素质和“战‘疫’力”。学校</w:t>
      </w:r>
      <w:r>
        <w:rPr>
          <w:rFonts w:ascii="仿宋" w:hAnsi="仿宋" w:eastAsia="仿宋"/>
          <w:sz w:val="28"/>
          <w:szCs w:val="28"/>
        </w:rPr>
        <w:t>开启线上体育健身比赛活动。为期8天</w:t>
      </w:r>
      <w:r>
        <w:rPr>
          <w:rFonts w:hint="eastAsia" w:ascii="仿宋" w:hAnsi="仿宋" w:eastAsia="仿宋"/>
          <w:sz w:val="28"/>
          <w:szCs w:val="28"/>
        </w:rPr>
        <w:t>的活动</w:t>
      </w:r>
      <w:r>
        <w:rPr>
          <w:rFonts w:ascii="仿宋" w:hAnsi="仿宋" w:eastAsia="仿宋"/>
          <w:sz w:val="28"/>
          <w:szCs w:val="28"/>
        </w:rPr>
        <w:t>，2600余名学生报名参加，浏览总量超过4000人次，充分展示了高博学子的青春活力。</w:t>
      </w:r>
      <w:r>
        <w:rPr>
          <w:rFonts w:hint="eastAsia" w:ascii="仿宋" w:hAnsi="仿宋" w:eastAsia="仿宋"/>
          <w:sz w:val="28"/>
          <w:szCs w:val="28"/>
        </w:rPr>
        <w:t>举办</w:t>
      </w:r>
      <w:r>
        <w:rPr>
          <w:rFonts w:ascii="仿宋" w:hAnsi="仿宋" w:eastAsia="仿宋"/>
          <w:sz w:val="28"/>
          <w:szCs w:val="28"/>
        </w:rPr>
        <w:t>2021年度体育文化系列活动</w:t>
      </w:r>
      <w:r>
        <w:rPr>
          <w:rFonts w:hint="eastAsia" w:ascii="仿宋" w:hAnsi="仿宋" w:eastAsia="仿宋"/>
          <w:sz w:val="28"/>
          <w:szCs w:val="28"/>
        </w:rPr>
        <w:t>，半个月连续</w:t>
      </w:r>
      <w:r>
        <w:rPr>
          <w:rFonts w:ascii="仿宋" w:hAnsi="仿宋" w:eastAsia="仿宋"/>
          <w:sz w:val="28"/>
          <w:szCs w:val="28"/>
        </w:rPr>
        <w:t>开展了趣味运动会</w:t>
      </w:r>
      <w:r>
        <w:rPr>
          <w:rFonts w:hint="eastAsia" w:ascii="仿宋" w:hAnsi="仿宋" w:eastAsia="仿宋"/>
          <w:sz w:val="28"/>
          <w:szCs w:val="28"/>
        </w:rPr>
        <w:t>、</w:t>
      </w:r>
      <w:r>
        <w:rPr>
          <w:rFonts w:ascii="仿宋" w:hAnsi="仿宋" w:eastAsia="仿宋"/>
          <w:sz w:val="28"/>
          <w:szCs w:val="28"/>
        </w:rPr>
        <w:t>足球联赛等体育文化系列活动。</w:t>
      </w:r>
      <w:r>
        <w:rPr>
          <w:rFonts w:hint="eastAsia" w:ascii="仿宋" w:hAnsi="仿宋" w:eastAsia="仿宋"/>
          <w:sz w:val="28"/>
          <w:szCs w:val="28"/>
        </w:rPr>
        <w:t>对接江苏省职业技能比赛标准，</w:t>
      </w:r>
      <w:r>
        <w:rPr>
          <w:rFonts w:ascii="仿宋" w:hAnsi="仿宋" w:eastAsia="仿宋"/>
          <w:sz w:val="28"/>
          <w:szCs w:val="28"/>
        </w:rPr>
        <w:t>该校</w:t>
      </w:r>
      <w:r>
        <w:rPr>
          <w:rFonts w:hint="eastAsia" w:ascii="仿宋" w:hAnsi="仿宋" w:eastAsia="仿宋"/>
          <w:sz w:val="28"/>
          <w:szCs w:val="28"/>
        </w:rPr>
        <w:t>各二级学院</w:t>
      </w:r>
      <w:r>
        <w:rPr>
          <w:rFonts w:ascii="仿宋" w:hAnsi="仿宋" w:eastAsia="仿宋"/>
          <w:sz w:val="28"/>
          <w:szCs w:val="28"/>
        </w:rPr>
        <w:t>开展校级学生技能竞赛系列活动</w:t>
      </w:r>
      <w:r>
        <w:rPr>
          <w:rFonts w:hint="eastAsia" w:ascii="仿宋" w:hAnsi="仿宋" w:eastAsia="仿宋"/>
          <w:sz w:val="28"/>
          <w:szCs w:val="28"/>
        </w:rPr>
        <w:t>：</w:t>
      </w:r>
      <w:r>
        <w:rPr>
          <w:rFonts w:ascii="仿宋" w:hAnsi="仿宋" w:eastAsia="仿宋"/>
          <w:sz w:val="28"/>
          <w:szCs w:val="28"/>
        </w:rPr>
        <w:t>医学与公共服务学院</w:t>
      </w:r>
      <w:r>
        <w:rPr>
          <w:rFonts w:hint="eastAsia" w:ascii="仿宋" w:hAnsi="仿宋" w:eastAsia="仿宋"/>
          <w:sz w:val="28"/>
          <w:szCs w:val="28"/>
        </w:rPr>
        <w:t>的</w:t>
      </w:r>
      <w:r>
        <w:rPr>
          <w:rFonts w:ascii="仿宋" w:hAnsi="仿宋" w:eastAsia="仿宋"/>
          <w:sz w:val="28"/>
          <w:szCs w:val="28"/>
        </w:rPr>
        <w:t>学前教育</w:t>
      </w:r>
      <w:r>
        <w:rPr>
          <w:rFonts w:hint="eastAsia" w:ascii="仿宋" w:hAnsi="仿宋" w:eastAsia="仿宋"/>
          <w:sz w:val="28"/>
          <w:szCs w:val="28"/>
        </w:rPr>
        <w:t>和护理</w:t>
      </w:r>
      <w:r>
        <w:rPr>
          <w:rFonts w:ascii="仿宋" w:hAnsi="仿宋" w:eastAsia="仿宋"/>
          <w:sz w:val="28"/>
          <w:szCs w:val="28"/>
        </w:rPr>
        <w:t>技能比赛</w:t>
      </w:r>
      <w:r>
        <w:rPr>
          <w:rFonts w:hint="eastAsia" w:ascii="仿宋" w:hAnsi="仿宋" w:eastAsia="仿宋"/>
          <w:sz w:val="28"/>
          <w:szCs w:val="28"/>
        </w:rPr>
        <w:t>；</w:t>
      </w:r>
      <w:r>
        <w:rPr>
          <w:rFonts w:ascii="仿宋" w:hAnsi="仿宋" w:eastAsia="仿宋"/>
          <w:sz w:val="28"/>
          <w:szCs w:val="28"/>
        </w:rPr>
        <w:t>国际商务学院</w:t>
      </w:r>
      <w:r>
        <w:rPr>
          <w:rFonts w:hint="eastAsia" w:ascii="仿宋" w:hAnsi="仿宋" w:eastAsia="仿宋"/>
          <w:sz w:val="28"/>
          <w:szCs w:val="28"/>
        </w:rPr>
        <w:t>的</w:t>
      </w:r>
      <w:r>
        <w:rPr>
          <w:rFonts w:ascii="仿宋" w:hAnsi="仿宋" w:eastAsia="仿宋"/>
          <w:sz w:val="28"/>
          <w:szCs w:val="28"/>
        </w:rPr>
        <w:t>商务技能</w:t>
      </w:r>
      <w:r>
        <w:rPr>
          <w:rFonts w:hint="eastAsia" w:ascii="仿宋" w:hAnsi="仿宋" w:eastAsia="仿宋"/>
          <w:sz w:val="28"/>
          <w:szCs w:val="28"/>
        </w:rPr>
        <w:t>和</w:t>
      </w:r>
      <w:r>
        <w:rPr>
          <w:rFonts w:ascii="仿宋" w:hAnsi="仿宋" w:eastAsia="仿宋"/>
          <w:sz w:val="28"/>
          <w:szCs w:val="28"/>
        </w:rPr>
        <w:t>“智慧财经知识”比赛</w:t>
      </w:r>
      <w:r>
        <w:rPr>
          <w:rFonts w:hint="eastAsia" w:ascii="仿宋" w:hAnsi="仿宋" w:eastAsia="仿宋"/>
          <w:sz w:val="28"/>
          <w:szCs w:val="28"/>
        </w:rPr>
        <w:t>；</w:t>
      </w:r>
      <w:r>
        <w:rPr>
          <w:rFonts w:ascii="仿宋" w:hAnsi="仿宋" w:eastAsia="仿宋"/>
          <w:sz w:val="28"/>
          <w:szCs w:val="28"/>
        </w:rPr>
        <w:t>信息与软件学院</w:t>
      </w:r>
      <w:r>
        <w:rPr>
          <w:rFonts w:hint="eastAsia" w:ascii="仿宋" w:hAnsi="仿宋" w:eastAsia="仿宋"/>
          <w:sz w:val="28"/>
          <w:szCs w:val="28"/>
        </w:rPr>
        <w:t>的</w:t>
      </w:r>
      <w:r>
        <w:rPr>
          <w:rFonts w:ascii="仿宋" w:hAnsi="仿宋" w:eastAsia="仿宋"/>
          <w:sz w:val="28"/>
          <w:szCs w:val="28"/>
        </w:rPr>
        <w:t xml:space="preserve"> “程序设计”</w:t>
      </w:r>
      <w:r>
        <w:rPr>
          <w:rFonts w:hint="eastAsia" w:ascii="仿宋" w:hAnsi="仿宋" w:eastAsia="仿宋"/>
          <w:sz w:val="28"/>
          <w:szCs w:val="28"/>
        </w:rPr>
        <w:t>与</w:t>
      </w:r>
      <w:r>
        <w:rPr>
          <w:rFonts w:ascii="仿宋" w:hAnsi="仿宋" w:eastAsia="仿宋"/>
          <w:sz w:val="28"/>
          <w:szCs w:val="28"/>
        </w:rPr>
        <w:t>“信息安全应用能力”技能比赛</w:t>
      </w:r>
      <w:r>
        <w:rPr>
          <w:rFonts w:hint="eastAsia" w:ascii="仿宋" w:hAnsi="仿宋" w:eastAsia="仿宋"/>
          <w:sz w:val="28"/>
          <w:szCs w:val="28"/>
        </w:rPr>
        <w:t>；</w:t>
      </w:r>
      <w:r>
        <w:rPr>
          <w:rFonts w:ascii="仿宋" w:hAnsi="仿宋" w:eastAsia="仿宋"/>
          <w:sz w:val="28"/>
          <w:szCs w:val="28"/>
        </w:rPr>
        <w:t>人文社科学院的“英语口语”技能</w:t>
      </w:r>
      <w:r>
        <w:rPr>
          <w:rFonts w:hint="eastAsia" w:ascii="仿宋" w:hAnsi="仿宋" w:eastAsia="仿宋"/>
          <w:sz w:val="28"/>
          <w:szCs w:val="28"/>
        </w:rPr>
        <w:t>比</w:t>
      </w:r>
      <w:r>
        <w:rPr>
          <w:rFonts w:ascii="仿宋" w:hAnsi="仿宋" w:eastAsia="仿宋"/>
          <w:sz w:val="28"/>
          <w:szCs w:val="28"/>
        </w:rPr>
        <w:t>赛</w:t>
      </w:r>
      <w:r>
        <w:rPr>
          <w:rFonts w:hint="eastAsia" w:ascii="仿宋" w:hAnsi="仿宋" w:eastAsia="仿宋"/>
          <w:sz w:val="28"/>
          <w:szCs w:val="28"/>
        </w:rPr>
        <w:t>；</w:t>
      </w:r>
      <w:r>
        <w:rPr>
          <w:rFonts w:ascii="仿宋" w:hAnsi="仿宋" w:eastAsia="仿宋"/>
          <w:sz w:val="28"/>
          <w:szCs w:val="28"/>
        </w:rPr>
        <w:t>机电工程学院</w:t>
      </w:r>
      <w:r>
        <w:rPr>
          <w:rFonts w:hint="eastAsia" w:ascii="仿宋" w:hAnsi="仿宋" w:eastAsia="仿宋"/>
          <w:sz w:val="28"/>
          <w:szCs w:val="28"/>
        </w:rPr>
        <w:t>的</w:t>
      </w:r>
      <w:r>
        <w:rPr>
          <w:rFonts w:ascii="仿宋" w:hAnsi="仿宋" w:eastAsia="仿宋"/>
          <w:sz w:val="28"/>
          <w:szCs w:val="28"/>
        </w:rPr>
        <w:t>“汽车检测与维修技术”技能决赛</w:t>
      </w:r>
      <w:r>
        <w:rPr>
          <w:rFonts w:hint="eastAsia" w:ascii="仿宋" w:hAnsi="仿宋" w:eastAsia="仿宋"/>
          <w:sz w:val="28"/>
          <w:szCs w:val="28"/>
        </w:rPr>
        <w:t>；</w:t>
      </w:r>
      <w:r>
        <w:rPr>
          <w:rFonts w:ascii="仿宋" w:hAnsi="仿宋" w:eastAsia="仿宋"/>
          <w:sz w:val="28"/>
          <w:szCs w:val="28"/>
        </w:rPr>
        <w:t>艺术与建筑学院</w:t>
      </w:r>
      <w:r>
        <w:rPr>
          <w:rFonts w:hint="eastAsia" w:ascii="仿宋" w:hAnsi="仿宋" w:eastAsia="仿宋"/>
          <w:sz w:val="28"/>
          <w:szCs w:val="28"/>
        </w:rPr>
        <w:t>联合企业开展的</w:t>
      </w:r>
      <w:r>
        <w:rPr>
          <w:rFonts w:ascii="仿宋" w:hAnsi="仿宋" w:eastAsia="仿宋"/>
          <w:sz w:val="28"/>
          <w:szCs w:val="28"/>
        </w:rPr>
        <w:t>“龙都杯”专业技能竞赛暨专业技能大赛，</w:t>
      </w:r>
      <w:r>
        <w:rPr>
          <w:rFonts w:hint="eastAsia" w:ascii="仿宋" w:hAnsi="仿宋" w:eastAsia="仿宋"/>
          <w:sz w:val="28"/>
          <w:szCs w:val="28"/>
        </w:rPr>
        <w:t>包括</w:t>
      </w:r>
      <w:r>
        <w:rPr>
          <w:rFonts w:ascii="仿宋" w:hAnsi="仿宋" w:eastAsia="仿宋"/>
          <w:sz w:val="28"/>
          <w:szCs w:val="28"/>
        </w:rPr>
        <w:t>CAD装饰施工图绘制、建筑装饰工程量清单编制、SketchUp草图大师建模等</w:t>
      </w:r>
      <w:r>
        <w:rPr>
          <w:rFonts w:hint="eastAsia" w:ascii="仿宋" w:hAnsi="仿宋" w:eastAsia="仿宋"/>
          <w:sz w:val="28"/>
          <w:szCs w:val="28"/>
        </w:rPr>
        <w:t>赛项</w:t>
      </w:r>
      <w:r>
        <w:rPr>
          <w:rFonts w:ascii="仿宋" w:hAnsi="仿宋" w:eastAsia="仿宋"/>
          <w:sz w:val="28"/>
          <w:szCs w:val="28"/>
        </w:rPr>
        <w:t>，竞赛选题来自省技能大赛或企业真实项目案例</w:t>
      </w:r>
      <w:r>
        <w:rPr>
          <w:rFonts w:hint="eastAsia" w:ascii="仿宋" w:hAnsi="仿宋" w:eastAsia="仿宋"/>
          <w:sz w:val="28"/>
          <w:szCs w:val="28"/>
        </w:rPr>
        <w:t>。</w:t>
      </w:r>
    </w:p>
    <w:p>
      <w:pPr>
        <w:adjustRightInd w:val="0"/>
        <w:snapToGrid w:val="0"/>
        <w:spacing w:line="360" w:lineRule="auto"/>
        <w:jc w:val="center"/>
        <w:rPr>
          <w:rFonts w:ascii="仿宋_GB2312" w:eastAsia="仿宋_GB2312" w:hAnsiTheme="minorEastAsia"/>
          <w:b/>
          <w:sz w:val="24"/>
          <w:szCs w:val="24"/>
        </w:rPr>
      </w:pPr>
      <w:bookmarkStart w:id="80" w:name="_Toc124170426"/>
      <w:bookmarkStart w:id="81" w:name="_Toc124170663"/>
      <w:r>
        <w:rPr>
          <w:rFonts w:hint="eastAsia" w:ascii="仿宋_GB2312" w:eastAsia="仿宋_GB2312" w:hAnsiTheme="minorEastAsia"/>
          <w:b/>
          <w:sz w:val="24"/>
          <w:szCs w:val="24"/>
        </w:rPr>
        <w:t xml:space="preserve">表1. </w:t>
      </w:r>
      <w:r>
        <w:rPr>
          <w:rFonts w:ascii="仿宋_GB2312" w:eastAsia="仿宋_GB2312" w:hAnsiTheme="minorEastAsia"/>
          <w:b/>
          <w:sz w:val="24"/>
          <w:szCs w:val="24"/>
        </w:rPr>
        <w:fldChar w:fldCharType="begin"/>
      </w:r>
      <w:r>
        <w:rPr>
          <w:rFonts w:ascii="仿宋_GB2312" w:eastAsia="仿宋_GB2312" w:hAnsiTheme="minorEastAsia"/>
          <w:b/>
          <w:sz w:val="24"/>
          <w:szCs w:val="24"/>
        </w:rPr>
        <w:instrText xml:space="preserve"> </w:instrText>
      </w:r>
      <w:r>
        <w:rPr>
          <w:rFonts w:hint="eastAsia" w:ascii="仿宋_GB2312" w:eastAsia="仿宋_GB2312" w:hAnsiTheme="minorEastAsia"/>
          <w:b/>
          <w:sz w:val="24"/>
          <w:szCs w:val="24"/>
        </w:rPr>
        <w:instrText xml:space="preserve">SEQ 表1. \* ARABIC</w:instrText>
      </w:r>
      <w:r>
        <w:rPr>
          <w:rFonts w:ascii="仿宋_GB2312" w:eastAsia="仿宋_GB2312" w:hAnsiTheme="minorEastAsia"/>
          <w:b/>
          <w:sz w:val="24"/>
          <w:szCs w:val="24"/>
        </w:rPr>
        <w:instrText xml:space="preserve"> </w:instrText>
      </w:r>
      <w:r>
        <w:rPr>
          <w:rFonts w:ascii="仿宋_GB2312" w:eastAsia="仿宋_GB2312" w:hAnsiTheme="minorEastAsia"/>
          <w:b/>
          <w:sz w:val="24"/>
          <w:szCs w:val="24"/>
        </w:rPr>
        <w:fldChar w:fldCharType="separate"/>
      </w:r>
      <w:r>
        <w:rPr>
          <w:rFonts w:ascii="仿宋_GB2312" w:eastAsia="仿宋_GB2312" w:hAnsiTheme="minorEastAsia"/>
          <w:b/>
          <w:sz w:val="24"/>
          <w:szCs w:val="24"/>
        </w:rPr>
        <w:t>4</w:t>
      </w:r>
      <w:r>
        <w:rPr>
          <w:rFonts w:ascii="仿宋_GB2312" w:eastAsia="仿宋_GB2312" w:hAnsiTheme="minorEastAsia"/>
          <w:b/>
          <w:sz w:val="24"/>
          <w:szCs w:val="24"/>
        </w:rPr>
        <w:fldChar w:fldCharType="end"/>
      </w:r>
      <w:r>
        <w:rPr>
          <w:rFonts w:hint="eastAsia" w:ascii="仿宋_GB2312" w:eastAsia="仿宋_GB2312" w:hAnsiTheme="minorEastAsia"/>
          <w:b/>
          <w:sz w:val="24"/>
          <w:szCs w:val="24"/>
        </w:rPr>
        <w:t>学生社团一览表</w:t>
      </w:r>
      <w:bookmarkEnd w:id="80"/>
      <w:bookmarkEnd w:id="81"/>
    </w:p>
    <w:tbl>
      <w:tblPr>
        <w:tblStyle w:val="62"/>
        <w:tblW w:w="8559" w:type="dxa"/>
        <w:jc w:val="center"/>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Layout w:type="fixed"/>
        <w:tblCellMar>
          <w:top w:w="0" w:type="dxa"/>
          <w:left w:w="108" w:type="dxa"/>
          <w:bottom w:w="0" w:type="dxa"/>
          <w:right w:w="108" w:type="dxa"/>
        </w:tblCellMar>
      </w:tblPr>
      <w:tblGrid>
        <w:gridCol w:w="709"/>
        <w:gridCol w:w="4435"/>
        <w:gridCol w:w="1667"/>
        <w:gridCol w:w="1748"/>
      </w:tblGrid>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PrEx>
        <w:trPr>
          <w:trHeight w:val="227" w:hRule="atLeast"/>
          <w:jc w:val="center"/>
        </w:trPr>
        <w:tc>
          <w:tcPr>
            <w:tcW w:w="709" w:type="dxa"/>
            <w:tcBorders>
              <w:top w:val="single" w:color="CCE8CF" w:themeColor="background1" w:sz="4" w:space="0"/>
              <w:left w:val="single" w:color="CCE8CF" w:themeColor="background1" w:sz="4" w:space="0"/>
              <w:right w:val="nil"/>
              <w:insideV w:val="nil"/>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序号</w:t>
            </w:r>
          </w:p>
        </w:tc>
        <w:tc>
          <w:tcPr>
            <w:tcW w:w="4435" w:type="dxa"/>
            <w:tcBorders>
              <w:top w:val="single" w:color="CCE8CF" w:themeColor="background1" w:sz="4" w:space="0"/>
              <w:right w:val="nil"/>
              <w:insideV w:val="nil"/>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社团名称</w:t>
            </w:r>
          </w:p>
        </w:tc>
        <w:tc>
          <w:tcPr>
            <w:tcW w:w="1667" w:type="dxa"/>
            <w:tcBorders>
              <w:top w:val="single" w:color="CCE8CF" w:themeColor="background1" w:sz="4" w:space="0"/>
              <w:right w:val="nil"/>
              <w:insideV w:val="nil"/>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参与学生人数（一年级）</w:t>
            </w:r>
          </w:p>
        </w:tc>
        <w:tc>
          <w:tcPr>
            <w:tcW w:w="1748" w:type="dxa"/>
            <w:tcBorders>
              <w:top w:val="single" w:color="CCE8CF" w:themeColor="background1" w:sz="4" w:space="0"/>
              <w:right w:val="single" w:color="CCE8CF" w:themeColor="background1" w:sz="4" w:space="0"/>
              <w:insideV w:val="nil"/>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参与学生人数（二年级）</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284" w:hRule="exact"/>
          <w:jc w:val="center"/>
        </w:trPr>
        <w:tc>
          <w:tcPr>
            <w:tcW w:w="709" w:type="dxa"/>
            <w:tcBorders>
              <w:left w:val="single" w:color="CCE8CF" w:themeColor="background1" w:sz="4" w:space="0"/>
            </w:tcBorders>
            <w:shd w:val="clear" w:color="auto" w:fill="5B9BD5" w:themeFill="accent5"/>
            <w:noWrap/>
          </w:tcPr>
          <w:p>
            <w:pPr>
              <w:widowControl/>
              <w:jc w:val="center"/>
              <w:rPr>
                <w:rFonts w:ascii="仿宋" w:hAnsi="仿宋" w:eastAsia="仿宋" w:cs="宋体"/>
                <w:b w:val="0"/>
                <w:bCs w:val="0"/>
                <w:color w:val="CCE8CF" w:themeColor="background1"/>
                <w:kern w:val="0"/>
                <w:sz w:val="24"/>
                <w:szCs w:val="24"/>
              </w:rPr>
            </w:pPr>
            <w:r>
              <w:rPr>
                <w:rFonts w:hint="eastAsia" w:ascii="仿宋" w:hAnsi="仿宋" w:eastAsia="仿宋" w:cs="宋体"/>
                <w:b/>
                <w:bCs/>
                <w:color w:val="CCE8CF" w:themeColor="background1"/>
                <w:kern w:val="0"/>
                <w:sz w:val="24"/>
                <w:szCs w:val="24"/>
              </w:rPr>
              <w:t>1</w:t>
            </w:r>
          </w:p>
        </w:tc>
        <w:tc>
          <w:tcPr>
            <w:tcW w:w="4435" w:type="dxa"/>
            <w:shd w:val="clear" w:color="auto" w:fill="BDD6EE" w:themeFill="accent5" w:themeFillTint="66"/>
          </w:tcPr>
          <w:p>
            <w:pPr>
              <w:widowControl/>
              <w:jc w:val="left"/>
              <w:rPr>
                <w:rFonts w:ascii="仿宋" w:hAnsi="仿宋" w:eastAsia="仿宋" w:cs="宋体"/>
                <w:color w:val="000000"/>
                <w:kern w:val="0"/>
                <w:sz w:val="24"/>
                <w:szCs w:val="24"/>
              </w:rPr>
            </w:pPr>
            <w:r>
              <w:rPr>
                <w:rFonts w:hint="eastAsia" w:ascii="仿宋" w:hAnsi="仿宋" w:eastAsia="仿宋" w:cs="宋体"/>
                <w:color w:val="000000"/>
                <w:kern w:val="0"/>
                <w:sz w:val="24"/>
                <w:szCs w:val="24"/>
              </w:rPr>
              <w:t>大学生心理健康协会</w:t>
            </w:r>
          </w:p>
        </w:tc>
        <w:tc>
          <w:tcPr>
            <w:tcW w:w="1667" w:type="dxa"/>
            <w:shd w:val="clear" w:color="auto" w:fill="BDD6EE" w:themeFill="accent5" w:themeFillTint="66"/>
            <w:noWrap/>
          </w:tcPr>
          <w:p>
            <w:pPr>
              <w:widowControl/>
              <w:jc w:val="center"/>
              <w:rPr>
                <w:rFonts w:ascii="仿宋" w:hAnsi="仿宋" w:eastAsia="仿宋" w:cs="宋体"/>
                <w:color w:val="000000"/>
                <w:kern w:val="0"/>
                <w:sz w:val="20"/>
                <w:szCs w:val="21"/>
              </w:rPr>
            </w:pPr>
            <w:r>
              <w:rPr>
                <w:rFonts w:hint="eastAsia" w:ascii="仿宋" w:hAnsi="仿宋" w:eastAsia="仿宋" w:cs="宋体"/>
                <w:color w:val="000000"/>
                <w:kern w:val="0"/>
                <w:sz w:val="20"/>
                <w:szCs w:val="21"/>
              </w:rPr>
              <w:t>171</w:t>
            </w:r>
          </w:p>
        </w:tc>
        <w:tc>
          <w:tcPr>
            <w:tcW w:w="1748" w:type="dxa"/>
            <w:shd w:val="clear" w:color="auto" w:fill="BDD6EE" w:themeFill="accent5" w:themeFillTint="66"/>
            <w:noWrap/>
          </w:tcPr>
          <w:p>
            <w:pPr>
              <w:widowControl/>
              <w:jc w:val="center"/>
              <w:rPr>
                <w:rFonts w:ascii="仿宋" w:hAnsi="仿宋" w:eastAsia="仿宋" w:cs="宋体"/>
                <w:color w:val="000000"/>
                <w:kern w:val="0"/>
                <w:sz w:val="20"/>
                <w:szCs w:val="21"/>
              </w:rPr>
            </w:pPr>
            <w:r>
              <w:rPr>
                <w:rFonts w:hint="eastAsia" w:ascii="仿宋" w:hAnsi="仿宋" w:eastAsia="仿宋" w:cs="宋体"/>
                <w:color w:val="000000"/>
                <w:kern w:val="0"/>
                <w:sz w:val="20"/>
                <w:szCs w:val="21"/>
              </w:rPr>
              <w:t>146</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14" w:hRule="exact"/>
          <w:jc w:val="center"/>
        </w:trPr>
        <w:tc>
          <w:tcPr>
            <w:tcW w:w="709" w:type="dxa"/>
            <w:tcBorders>
              <w:left w:val="single" w:color="CCE8CF" w:themeColor="background1" w:sz="4" w:space="0"/>
            </w:tcBorders>
            <w:shd w:val="clear" w:color="auto" w:fill="5B9BD5" w:themeFill="accent5"/>
            <w:noWrap/>
          </w:tcPr>
          <w:p>
            <w:pPr>
              <w:widowControl/>
              <w:jc w:val="center"/>
              <w:rPr>
                <w:rFonts w:ascii="仿宋" w:hAnsi="仿宋" w:eastAsia="仿宋" w:cs="宋体"/>
                <w:b w:val="0"/>
                <w:bCs w:val="0"/>
                <w:color w:val="CCE8CF" w:themeColor="background1"/>
                <w:kern w:val="0"/>
                <w:sz w:val="24"/>
                <w:szCs w:val="24"/>
              </w:rPr>
            </w:pPr>
            <w:r>
              <w:rPr>
                <w:rFonts w:hint="eastAsia" w:ascii="仿宋" w:hAnsi="仿宋" w:eastAsia="仿宋" w:cs="宋体"/>
                <w:b/>
                <w:bCs/>
                <w:color w:val="CCE8CF" w:themeColor="background1"/>
                <w:kern w:val="0"/>
                <w:sz w:val="24"/>
                <w:szCs w:val="24"/>
              </w:rPr>
              <w:t>2</w:t>
            </w:r>
          </w:p>
        </w:tc>
        <w:tc>
          <w:tcPr>
            <w:tcW w:w="4435" w:type="dxa"/>
            <w:shd w:val="clear" w:color="auto" w:fill="DEEAF6" w:themeFill="accent5" w:themeFillTint="33"/>
          </w:tcPr>
          <w:p>
            <w:pPr>
              <w:widowControl/>
              <w:jc w:val="left"/>
              <w:rPr>
                <w:rFonts w:ascii="仿宋" w:hAnsi="仿宋" w:eastAsia="仿宋" w:cs="宋体"/>
                <w:color w:val="000000"/>
                <w:kern w:val="0"/>
                <w:sz w:val="24"/>
                <w:szCs w:val="24"/>
              </w:rPr>
            </w:pPr>
            <w:r>
              <w:rPr>
                <w:rFonts w:hint="eastAsia" w:ascii="仿宋" w:hAnsi="仿宋" w:eastAsia="仿宋" w:cs="宋体"/>
                <w:color w:val="000000"/>
                <w:kern w:val="0"/>
                <w:sz w:val="24"/>
                <w:szCs w:val="24"/>
              </w:rPr>
              <w:t>青春同伴社</w:t>
            </w:r>
          </w:p>
        </w:tc>
        <w:tc>
          <w:tcPr>
            <w:tcW w:w="1667" w:type="dxa"/>
            <w:shd w:val="clear" w:color="auto" w:fill="DEEAF6" w:themeFill="accent5" w:themeFillTint="33"/>
            <w:noWrap/>
          </w:tcPr>
          <w:p>
            <w:pPr>
              <w:widowControl/>
              <w:jc w:val="center"/>
              <w:rPr>
                <w:rFonts w:ascii="仿宋" w:hAnsi="仿宋" w:eastAsia="仿宋" w:cs="宋体"/>
                <w:color w:val="000000"/>
                <w:kern w:val="0"/>
                <w:sz w:val="20"/>
                <w:szCs w:val="21"/>
              </w:rPr>
            </w:pPr>
            <w:r>
              <w:rPr>
                <w:rFonts w:hint="eastAsia" w:ascii="仿宋" w:hAnsi="仿宋" w:eastAsia="仿宋" w:cs="宋体"/>
                <w:color w:val="000000"/>
                <w:kern w:val="0"/>
                <w:sz w:val="20"/>
                <w:szCs w:val="21"/>
              </w:rPr>
              <w:t>205</w:t>
            </w:r>
          </w:p>
        </w:tc>
        <w:tc>
          <w:tcPr>
            <w:tcW w:w="1748" w:type="dxa"/>
            <w:shd w:val="clear" w:color="auto" w:fill="DEEAF6" w:themeFill="accent5" w:themeFillTint="33"/>
            <w:noWrap/>
          </w:tcPr>
          <w:p>
            <w:pPr>
              <w:widowControl/>
              <w:jc w:val="center"/>
              <w:rPr>
                <w:rFonts w:ascii="仿宋" w:hAnsi="仿宋" w:eastAsia="仿宋" w:cs="宋体"/>
                <w:color w:val="000000"/>
                <w:kern w:val="0"/>
                <w:sz w:val="20"/>
                <w:szCs w:val="21"/>
              </w:rPr>
            </w:pPr>
            <w:r>
              <w:rPr>
                <w:rFonts w:hint="eastAsia" w:ascii="仿宋" w:hAnsi="仿宋" w:eastAsia="仿宋" w:cs="宋体"/>
                <w:color w:val="000000"/>
                <w:kern w:val="0"/>
                <w:sz w:val="20"/>
                <w:szCs w:val="21"/>
              </w:rPr>
              <w:t>158</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284" w:hRule="exact"/>
          <w:jc w:val="center"/>
        </w:trPr>
        <w:tc>
          <w:tcPr>
            <w:tcW w:w="709" w:type="dxa"/>
            <w:tcBorders>
              <w:left w:val="single" w:color="CCE8CF" w:themeColor="background1" w:sz="4" w:space="0"/>
            </w:tcBorders>
            <w:shd w:val="clear" w:color="auto" w:fill="5B9BD5" w:themeFill="accent5"/>
            <w:noWrap/>
          </w:tcPr>
          <w:p>
            <w:pPr>
              <w:widowControl/>
              <w:jc w:val="center"/>
              <w:rPr>
                <w:rFonts w:ascii="仿宋" w:hAnsi="仿宋" w:eastAsia="仿宋" w:cs="宋体"/>
                <w:b w:val="0"/>
                <w:bCs w:val="0"/>
                <w:color w:val="CCE8CF" w:themeColor="background1"/>
                <w:kern w:val="0"/>
                <w:sz w:val="24"/>
                <w:szCs w:val="24"/>
              </w:rPr>
            </w:pPr>
            <w:r>
              <w:rPr>
                <w:rFonts w:hint="eastAsia" w:ascii="仿宋" w:hAnsi="仿宋" w:eastAsia="仿宋" w:cs="宋体"/>
                <w:b/>
                <w:bCs/>
                <w:color w:val="CCE8CF" w:themeColor="background1"/>
                <w:kern w:val="0"/>
                <w:sz w:val="24"/>
                <w:szCs w:val="24"/>
              </w:rPr>
              <w:t>3</w:t>
            </w:r>
          </w:p>
        </w:tc>
        <w:tc>
          <w:tcPr>
            <w:tcW w:w="4435" w:type="dxa"/>
            <w:shd w:val="clear" w:color="auto" w:fill="BDD6EE" w:themeFill="accent5" w:themeFillTint="66"/>
          </w:tcPr>
          <w:p>
            <w:pPr>
              <w:widowControl/>
              <w:jc w:val="left"/>
              <w:rPr>
                <w:rFonts w:ascii="仿宋" w:hAnsi="仿宋" w:eastAsia="仿宋" w:cs="宋体"/>
                <w:color w:val="000000"/>
                <w:kern w:val="0"/>
                <w:sz w:val="24"/>
                <w:szCs w:val="24"/>
              </w:rPr>
            </w:pPr>
            <w:r>
              <w:rPr>
                <w:rFonts w:hint="eastAsia" w:ascii="仿宋" w:hAnsi="仿宋" w:eastAsia="仿宋" w:cs="宋体"/>
                <w:color w:val="000000"/>
                <w:kern w:val="0"/>
                <w:sz w:val="24"/>
                <w:szCs w:val="24"/>
              </w:rPr>
              <w:t>计算机协会</w:t>
            </w:r>
          </w:p>
        </w:tc>
        <w:tc>
          <w:tcPr>
            <w:tcW w:w="1667" w:type="dxa"/>
            <w:shd w:val="clear" w:color="auto" w:fill="BDD6EE" w:themeFill="accent5" w:themeFillTint="66"/>
            <w:noWrap/>
          </w:tcPr>
          <w:p>
            <w:pPr>
              <w:widowControl/>
              <w:jc w:val="center"/>
              <w:rPr>
                <w:rFonts w:ascii="仿宋" w:hAnsi="仿宋" w:eastAsia="仿宋" w:cs="宋体"/>
                <w:color w:val="000000"/>
                <w:kern w:val="0"/>
                <w:sz w:val="20"/>
                <w:szCs w:val="21"/>
              </w:rPr>
            </w:pPr>
            <w:r>
              <w:rPr>
                <w:rFonts w:hint="eastAsia" w:ascii="仿宋" w:hAnsi="仿宋" w:eastAsia="仿宋" w:cs="宋体"/>
                <w:color w:val="000000"/>
                <w:kern w:val="0"/>
                <w:sz w:val="20"/>
                <w:szCs w:val="21"/>
              </w:rPr>
              <w:t>25</w:t>
            </w:r>
          </w:p>
        </w:tc>
        <w:tc>
          <w:tcPr>
            <w:tcW w:w="1748" w:type="dxa"/>
            <w:shd w:val="clear" w:color="auto" w:fill="BDD6EE" w:themeFill="accent5" w:themeFillTint="66"/>
            <w:noWrap/>
          </w:tcPr>
          <w:p>
            <w:pPr>
              <w:widowControl/>
              <w:jc w:val="center"/>
              <w:rPr>
                <w:rFonts w:ascii="仿宋" w:hAnsi="仿宋" w:eastAsia="仿宋" w:cs="宋体"/>
                <w:color w:val="000000"/>
                <w:kern w:val="0"/>
                <w:sz w:val="20"/>
                <w:szCs w:val="21"/>
              </w:rPr>
            </w:pPr>
            <w:r>
              <w:rPr>
                <w:rFonts w:hint="eastAsia" w:ascii="仿宋" w:hAnsi="仿宋" w:eastAsia="仿宋" w:cs="宋体"/>
                <w:color w:val="000000"/>
                <w:kern w:val="0"/>
                <w:sz w:val="20"/>
                <w:szCs w:val="21"/>
              </w:rPr>
              <w:t>5</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284" w:hRule="exact"/>
          <w:jc w:val="center"/>
        </w:trPr>
        <w:tc>
          <w:tcPr>
            <w:tcW w:w="709" w:type="dxa"/>
            <w:tcBorders>
              <w:left w:val="single" w:color="CCE8CF" w:themeColor="background1" w:sz="4" w:space="0"/>
            </w:tcBorders>
            <w:shd w:val="clear" w:color="auto" w:fill="5B9BD5" w:themeFill="accent5"/>
            <w:noWrap/>
          </w:tcPr>
          <w:p>
            <w:pPr>
              <w:widowControl/>
              <w:jc w:val="center"/>
              <w:rPr>
                <w:rFonts w:ascii="仿宋" w:hAnsi="仿宋" w:eastAsia="仿宋" w:cs="宋体"/>
                <w:b w:val="0"/>
                <w:bCs w:val="0"/>
                <w:color w:val="CCE8CF" w:themeColor="background1"/>
                <w:kern w:val="0"/>
                <w:sz w:val="24"/>
                <w:szCs w:val="24"/>
              </w:rPr>
            </w:pPr>
            <w:r>
              <w:rPr>
                <w:rFonts w:hint="eastAsia" w:ascii="仿宋" w:hAnsi="仿宋" w:eastAsia="仿宋" w:cs="宋体"/>
                <w:b/>
                <w:bCs/>
                <w:color w:val="CCE8CF" w:themeColor="background1"/>
                <w:kern w:val="0"/>
                <w:sz w:val="24"/>
                <w:szCs w:val="24"/>
              </w:rPr>
              <w:t>4</w:t>
            </w:r>
          </w:p>
        </w:tc>
        <w:tc>
          <w:tcPr>
            <w:tcW w:w="4435" w:type="dxa"/>
            <w:shd w:val="clear" w:color="auto" w:fill="DEEAF6" w:themeFill="accent5" w:themeFillTint="33"/>
          </w:tcPr>
          <w:p>
            <w:pPr>
              <w:widowControl/>
              <w:jc w:val="left"/>
              <w:rPr>
                <w:rFonts w:ascii="仿宋" w:hAnsi="仿宋" w:eastAsia="仿宋" w:cs="宋体"/>
                <w:color w:val="000000"/>
                <w:kern w:val="0"/>
                <w:sz w:val="24"/>
                <w:szCs w:val="24"/>
              </w:rPr>
            </w:pPr>
            <w:r>
              <w:rPr>
                <w:rFonts w:hint="eastAsia" w:ascii="仿宋" w:hAnsi="仿宋" w:eastAsia="仿宋" w:cs="宋体"/>
                <w:color w:val="000000"/>
                <w:kern w:val="0"/>
                <w:sz w:val="24"/>
                <w:szCs w:val="24"/>
              </w:rPr>
              <w:t>文化交流协会</w:t>
            </w:r>
          </w:p>
        </w:tc>
        <w:tc>
          <w:tcPr>
            <w:tcW w:w="1667" w:type="dxa"/>
            <w:shd w:val="clear" w:color="auto" w:fill="DEEAF6" w:themeFill="accent5" w:themeFillTint="33"/>
            <w:noWrap/>
          </w:tcPr>
          <w:p>
            <w:pPr>
              <w:widowControl/>
              <w:jc w:val="center"/>
              <w:rPr>
                <w:rFonts w:ascii="仿宋" w:hAnsi="仿宋" w:eastAsia="仿宋" w:cs="宋体"/>
                <w:color w:val="000000"/>
                <w:kern w:val="0"/>
                <w:sz w:val="20"/>
                <w:szCs w:val="21"/>
              </w:rPr>
            </w:pPr>
            <w:r>
              <w:rPr>
                <w:rFonts w:hint="eastAsia" w:ascii="仿宋" w:hAnsi="仿宋" w:eastAsia="仿宋" w:cs="宋体"/>
                <w:color w:val="000000"/>
                <w:kern w:val="0"/>
                <w:sz w:val="20"/>
                <w:szCs w:val="21"/>
              </w:rPr>
              <w:t>25</w:t>
            </w:r>
          </w:p>
        </w:tc>
        <w:tc>
          <w:tcPr>
            <w:tcW w:w="1748" w:type="dxa"/>
            <w:shd w:val="clear" w:color="auto" w:fill="DEEAF6" w:themeFill="accent5" w:themeFillTint="33"/>
            <w:noWrap/>
          </w:tcPr>
          <w:p>
            <w:pPr>
              <w:widowControl/>
              <w:jc w:val="center"/>
              <w:rPr>
                <w:rFonts w:ascii="仿宋" w:hAnsi="仿宋" w:eastAsia="仿宋" w:cs="宋体"/>
                <w:color w:val="000000"/>
                <w:kern w:val="0"/>
                <w:sz w:val="20"/>
                <w:szCs w:val="21"/>
              </w:rPr>
            </w:pPr>
            <w:r>
              <w:rPr>
                <w:rFonts w:hint="eastAsia" w:ascii="仿宋" w:hAnsi="仿宋" w:eastAsia="仿宋" w:cs="宋体"/>
                <w:color w:val="000000"/>
                <w:kern w:val="0"/>
                <w:sz w:val="20"/>
                <w:szCs w:val="21"/>
              </w:rPr>
              <w:t>5</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284" w:hRule="exact"/>
          <w:jc w:val="center"/>
        </w:trPr>
        <w:tc>
          <w:tcPr>
            <w:tcW w:w="709" w:type="dxa"/>
            <w:tcBorders>
              <w:left w:val="single" w:color="CCE8CF" w:themeColor="background1" w:sz="4" w:space="0"/>
            </w:tcBorders>
            <w:shd w:val="clear" w:color="auto" w:fill="5B9BD5" w:themeFill="accent5"/>
            <w:noWrap/>
          </w:tcPr>
          <w:p>
            <w:pPr>
              <w:widowControl/>
              <w:jc w:val="center"/>
              <w:rPr>
                <w:rFonts w:ascii="仿宋" w:hAnsi="仿宋" w:eastAsia="仿宋" w:cs="宋体"/>
                <w:b/>
                <w:bCs/>
                <w:color w:val="CCE8CF" w:themeColor="background1"/>
                <w:kern w:val="0"/>
                <w:sz w:val="24"/>
                <w:szCs w:val="24"/>
              </w:rPr>
            </w:pPr>
            <w:r>
              <w:rPr>
                <w:rFonts w:hint="eastAsia" w:ascii="仿宋" w:hAnsi="仿宋" w:eastAsia="仿宋" w:cs="宋体"/>
                <w:b/>
                <w:bCs/>
                <w:color w:val="CCE8CF" w:themeColor="background1"/>
                <w:kern w:val="0"/>
                <w:sz w:val="24"/>
                <w:szCs w:val="24"/>
              </w:rPr>
              <w:t>5</w:t>
            </w:r>
          </w:p>
        </w:tc>
        <w:tc>
          <w:tcPr>
            <w:tcW w:w="4435" w:type="dxa"/>
            <w:shd w:val="clear" w:color="auto" w:fill="BDD6EE" w:themeFill="accent5" w:themeFillTint="66"/>
          </w:tcPr>
          <w:p>
            <w:pPr>
              <w:widowControl/>
              <w:jc w:val="left"/>
              <w:rPr>
                <w:rFonts w:ascii="仿宋" w:hAnsi="仿宋" w:eastAsia="仿宋" w:cs="宋体"/>
                <w:color w:val="000000"/>
                <w:kern w:val="0"/>
                <w:sz w:val="24"/>
                <w:szCs w:val="24"/>
              </w:rPr>
            </w:pPr>
            <w:r>
              <w:rPr>
                <w:rFonts w:hint="eastAsia" w:ascii="仿宋" w:hAnsi="仿宋" w:eastAsia="仿宋" w:cs="宋体"/>
                <w:color w:val="000000"/>
                <w:kern w:val="0"/>
                <w:sz w:val="24"/>
                <w:szCs w:val="24"/>
              </w:rPr>
              <w:t>英语社</w:t>
            </w:r>
          </w:p>
        </w:tc>
        <w:tc>
          <w:tcPr>
            <w:tcW w:w="1667" w:type="dxa"/>
            <w:shd w:val="clear" w:color="auto" w:fill="BDD6EE" w:themeFill="accent5" w:themeFillTint="66"/>
            <w:noWrap/>
          </w:tcPr>
          <w:p>
            <w:pPr>
              <w:widowControl/>
              <w:jc w:val="center"/>
              <w:rPr>
                <w:rFonts w:ascii="仿宋" w:hAnsi="仿宋" w:eastAsia="仿宋" w:cs="宋体"/>
                <w:color w:val="000000"/>
                <w:kern w:val="0"/>
                <w:sz w:val="20"/>
                <w:szCs w:val="21"/>
              </w:rPr>
            </w:pPr>
            <w:r>
              <w:rPr>
                <w:rFonts w:hint="eastAsia" w:ascii="仿宋" w:hAnsi="仿宋" w:eastAsia="仿宋" w:cs="宋体"/>
                <w:color w:val="000000"/>
                <w:kern w:val="0"/>
                <w:sz w:val="20"/>
                <w:szCs w:val="21"/>
              </w:rPr>
              <w:t>25</w:t>
            </w:r>
          </w:p>
        </w:tc>
        <w:tc>
          <w:tcPr>
            <w:tcW w:w="1748" w:type="dxa"/>
            <w:shd w:val="clear" w:color="auto" w:fill="BDD6EE" w:themeFill="accent5" w:themeFillTint="66"/>
            <w:noWrap/>
          </w:tcPr>
          <w:p>
            <w:pPr>
              <w:widowControl/>
              <w:jc w:val="center"/>
              <w:rPr>
                <w:rFonts w:ascii="仿宋" w:hAnsi="仿宋" w:eastAsia="仿宋" w:cs="宋体"/>
                <w:color w:val="000000"/>
                <w:kern w:val="0"/>
                <w:sz w:val="20"/>
                <w:szCs w:val="21"/>
              </w:rPr>
            </w:pPr>
            <w:r>
              <w:rPr>
                <w:rFonts w:hint="eastAsia" w:ascii="仿宋" w:hAnsi="仿宋" w:eastAsia="仿宋" w:cs="宋体"/>
                <w:color w:val="000000"/>
                <w:kern w:val="0"/>
                <w:sz w:val="20"/>
                <w:szCs w:val="21"/>
              </w:rPr>
              <w:t>5</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284" w:hRule="exact"/>
          <w:jc w:val="center"/>
        </w:trPr>
        <w:tc>
          <w:tcPr>
            <w:tcW w:w="709" w:type="dxa"/>
            <w:tcBorders>
              <w:left w:val="single" w:color="CCE8CF" w:themeColor="background1" w:sz="4" w:space="0"/>
            </w:tcBorders>
            <w:shd w:val="clear" w:color="auto" w:fill="5B9BD5" w:themeFill="accent5"/>
            <w:noWrap/>
          </w:tcPr>
          <w:p>
            <w:pPr>
              <w:widowControl/>
              <w:jc w:val="center"/>
              <w:rPr>
                <w:rFonts w:ascii="仿宋" w:hAnsi="仿宋" w:eastAsia="仿宋" w:cs="宋体"/>
                <w:b w:val="0"/>
                <w:bCs w:val="0"/>
                <w:color w:val="CCE8CF" w:themeColor="background1"/>
                <w:kern w:val="0"/>
                <w:sz w:val="24"/>
                <w:szCs w:val="24"/>
              </w:rPr>
            </w:pPr>
            <w:r>
              <w:rPr>
                <w:rFonts w:hint="eastAsia" w:ascii="仿宋" w:hAnsi="仿宋" w:eastAsia="仿宋" w:cs="宋体"/>
                <w:b/>
                <w:bCs/>
                <w:color w:val="CCE8CF" w:themeColor="background1"/>
                <w:kern w:val="0"/>
                <w:sz w:val="24"/>
                <w:szCs w:val="24"/>
              </w:rPr>
              <w:t>6</w:t>
            </w:r>
          </w:p>
        </w:tc>
        <w:tc>
          <w:tcPr>
            <w:tcW w:w="4435" w:type="dxa"/>
            <w:shd w:val="clear" w:color="auto" w:fill="DEEAF6" w:themeFill="accent5" w:themeFillTint="33"/>
          </w:tcPr>
          <w:p>
            <w:pPr>
              <w:widowControl/>
              <w:jc w:val="left"/>
              <w:rPr>
                <w:rFonts w:ascii="仿宋" w:hAnsi="仿宋" w:eastAsia="仿宋" w:cs="宋体"/>
                <w:color w:val="000000"/>
                <w:kern w:val="0"/>
                <w:sz w:val="24"/>
                <w:szCs w:val="24"/>
              </w:rPr>
            </w:pPr>
            <w:r>
              <w:rPr>
                <w:rFonts w:hint="eastAsia" w:ascii="仿宋" w:hAnsi="仿宋" w:eastAsia="仿宋" w:cs="宋体"/>
                <w:color w:val="000000"/>
                <w:kern w:val="0"/>
                <w:sz w:val="24"/>
                <w:szCs w:val="24"/>
              </w:rPr>
              <w:t>国旗班</w:t>
            </w:r>
          </w:p>
        </w:tc>
        <w:tc>
          <w:tcPr>
            <w:tcW w:w="1667" w:type="dxa"/>
            <w:shd w:val="clear" w:color="auto" w:fill="DEEAF6" w:themeFill="accent5" w:themeFillTint="33"/>
            <w:noWrap/>
          </w:tcPr>
          <w:p>
            <w:pPr>
              <w:widowControl/>
              <w:jc w:val="center"/>
              <w:rPr>
                <w:rFonts w:ascii="仿宋" w:hAnsi="仿宋" w:eastAsia="仿宋" w:cs="宋体"/>
                <w:color w:val="000000"/>
                <w:kern w:val="0"/>
                <w:sz w:val="20"/>
                <w:szCs w:val="21"/>
              </w:rPr>
            </w:pPr>
            <w:r>
              <w:rPr>
                <w:rFonts w:hint="eastAsia" w:ascii="仿宋" w:hAnsi="仿宋" w:eastAsia="仿宋" w:cs="宋体"/>
                <w:color w:val="000000"/>
                <w:kern w:val="0"/>
                <w:sz w:val="20"/>
                <w:szCs w:val="21"/>
              </w:rPr>
              <w:t>25</w:t>
            </w:r>
          </w:p>
        </w:tc>
        <w:tc>
          <w:tcPr>
            <w:tcW w:w="1748" w:type="dxa"/>
            <w:shd w:val="clear" w:color="auto" w:fill="DEEAF6" w:themeFill="accent5" w:themeFillTint="33"/>
            <w:noWrap/>
          </w:tcPr>
          <w:p>
            <w:pPr>
              <w:widowControl/>
              <w:jc w:val="center"/>
              <w:rPr>
                <w:rFonts w:ascii="仿宋" w:hAnsi="仿宋" w:eastAsia="仿宋" w:cs="宋体"/>
                <w:color w:val="000000"/>
                <w:kern w:val="0"/>
                <w:sz w:val="20"/>
                <w:szCs w:val="21"/>
              </w:rPr>
            </w:pPr>
            <w:r>
              <w:rPr>
                <w:rFonts w:hint="eastAsia" w:ascii="仿宋" w:hAnsi="仿宋" w:eastAsia="仿宋" w:cs="宋体"/>
                <w:color w:val="000000"/>
                <w:kern w:val="0"/>
                <w:sz w:val="20"/>
                <w:szCs w:val="21"/>
              </w:rPr>
              <w:t>5</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284" w:hRule="exact"/>
          <w:jc w:val="center"/>
        </w:trPr>
        <w:tc>
          <w:tcPr>
            <w:tcW w:w="709" w:type="dxa"/>
            <w:tcBorders>
              <w:left w:val="single" w:color="CCE8CF" w:themeColor="background1" w:sz="4" w:space="0"/>
            </w:tcBorders>
            <w:shd w:val="clear" w:color="auto" w:fill="5B9BD5" w:themeFill="accent5"/>
            <w:noWrap/>
          </w:tcPr>
          <w:p>
            <w:pPr>
              <w:widowControl/>
              <w:jc w:val="center"/>
              <w:rPr>
                <w:rFonts w:ascii="仿宋" w:hAnsi="仿宋" w:eastAsia="仿宋" w:cs="宋体"/>
                <w:b w:val="0"/>
                <w:bCs w:val="0"/>
                <w:color w:val="CCE8CF" w:themeColor="background1"/>
                <w:kern w:val="0"/>
                <w:sz w:val="24"/>
                <w:szCs w:val="24"/>
              </w:rPr>
            </w:pPr>
            <w:r>
              <w:rPr>
                <w:rFonts w:hint="eastAsia" w:ascii="仿宋" w:hAnsi="仿宋" w:eastAsia="仿宋" w:cs="宋体"/>
                <w:b/>
                <w:bCs/>
                <w:color w:val="CCE8CF" w:themeColor="background1"/>
                <w:kern w:val="0"/>
                <w:sz w:val="24"/>
                <w:szCs w:val="24"/>
              </w:rPr>
              <w:t>7</w:t>
            </w:r>
          </w:p>
        </w:tc>
        <w:tc>
          <w:tcPr>
            <w:tcW w:w="4435" w:type="dxa"/>
            <w:shd w:val="clear" w:color="auto" w:fill="BDD6EE" w:themeFill="accent5" w:themeFillTint="66"/>
          </w:tcPr>
          <w:p>
            <w:pPr>
              <w:widowControl/>
              <w:jc w:val="left"/>
              <w:rPr>
                <w:rFonts w:ascii="仿宋" w:hAnsi="仿宋" w:eastAsia="仿宋" w:cs="宋体"/>
                <w:color w:val="000000"/>
                <w:kern w:val="0"/>
                <w:sz w:val="24"/>
                <w:szCs w:val="24"/>
              </w:rPr>
            </w:pPr>
            <w:r>
              <w:rPr>
                <w:rFonts w:hint="eastAsia" w:ascii="仿宋" w:hAnsi="仿宋" w:eastAsia="仿宋" w:cs="宋体"/>
                <w:color w:val="000000"/>
                <w:kern w:val="0"/>
                <w:sz w:val="24"/>
                <w:szCs w:val="24"/>
              </w:rPr>
              <w:t>竞技体育协会</w:t>
            </w:r>
          </w:p>
        </w:tc>
        <w:tc>
          <w:tcPr>
            <w:tcW w:w="1667" w:type="dxa"/>
            <w:shd w:val="clear" w:color="auto" w:fill="BDD6EE" w:themeFill="accent5" w:themeFillTint="66"/>
            <w:noWrap/>
          </w:tcPr>
          <w:p>
            <w:pPr>
              <w:widowControl/>
              <w:jc w:val="center"/>
              <w:rPr>
                <w:rFonts w:ascii="仿宋" w:hAnsi="仿宋" w:eastAsia="仿宋" w:cs="宋体"/>
                <w:color w:val="000000"/>
                <w:kern w:val="0"/>
                <w:sz w:val="20"/>
                <w:szCs w:val="21"/>
              </w:rPr>
            </w:pPr>
            <w:r>
              <w:rPr>
                <w:rFonts w:hint="eastAsia" w:ascii="仿宋" w:hAnsi="仿宋" w:eastAsia="仿宋" w:cs="宋体"/>
                <w:color w:val="000000"/>
                <w:kern w:val="0"/>
                <w:sz w:val="20"/>
                <w:szCs w:val="21"/>
              </w:rPr>
              <w:t>25</w:t>
            </w:r>
          </w:p>
        </w:tc>
        <w:tc>
          <w:tcPr>
            <w:tcW w:w="1748" w:type="dxa"/>
            <w:shd w:val="clear" w:color="auto" w:fill="BDD6EE" w:themeFill="accent5" w:themeFillTint="66"/>
            <w:noWrap/>
          </w:tcPr>
          <w:p>
            <w:pPr>
              <w:widowControl/>
              <w:jc w:val="center"/>
              <w:rPr>
                <w:rFonts w:ascii="仿宋" w:hAnsi="仿宋" w:eastAsia="仿宋" w:cs="宋体"/>
                <w:color w:val="000000"/>
                <w:kern w:val="0"/>
                <w:sz w:val="20"/>
                <w:szCs w:val="21"/>
              </w:rPr>
            </w:pPr>
            <w:r>
              <w:rPr>
                <w:rFonts w:hint="eastAsia" w:ascii="仿宋" w:hAnsi="仿宋" w:eastAsia="仿宋" w:cs="宋体"/>
                <w:color w:val="000000"/>
                <w:kern w:val="0"/>
                <w:sz w:val="20"/>
                <w:szCs w:val="21"/>
              </w:rPr>
              <w:t>5</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284" w:hRule="exact"/>
          <w:jc w:val="center"/>
        </w:trPr>
        <w:tc>
          <w:tcPr>
            <w:tcW w:w="709" w:type="dxa"/>
            <w:tcBorders>
              <w:left w:val="single" w:color="CCE8CF" w:themeColor="background1" w:sz="4" w:space="0"/>
            </w:tcBorders>
            <w:shd w:val="clear" w:color="auto" w:fill="5B9BD5" w:themeFill="accent5"/>
            <w:noWrap/>
          </w:tcPr>
          <w:p>
            <w:pPr>
              <w:widowControl/>
              <w:jc w:val="center"/>
              <w:rPr>
                <w:rFonts w:ascii="仿宋" w:hAnsi="仿宋" w:eastAsia="仿宋" w:cs="宋体"/>
                <w:b w:val="0"/>
                <w:bCs w:val="0"/>
                <w:color w:val="CCE8CF" w:themeColor="background1"/>
                <w:kern w:val="0"/>
                <w:sz w:val="24"/>
                <w:szCs w:val="24"/>
              </w:rPr>
            </w:pPr>
            <w:r>
              <w:rPr>
                <w:rFonts w:hint="eastAsia" w:ascii="仿宋" w:hAnsi="仿宋" w:eastAsia="仿宋" w:cs="宋体"/>
                <w:b/>
                <w:bCs/>
                <w:color w:val="CCE8CF" w:themeColor="background1"/>
                <w:kern w:val="0"/>
                <w:sz w:val="24"/>
                <w:szCs w:val="24"/>
              </w:rPr>
              <w:t>8</w:t>
            </w:r>
          </w:p>
        </w:tc>
        <w:tc>
          <w:tcPr>
            <w:tcW w:w="4435" w:type="dxa"/>
            <w:shd w:val="clear" w:color="auto" w:fill="DEEAF6" w:themeFill="accent5" w:themeFillTint="33"/>
          </w:tcPr>
          <w:p>
            <w:pPr>
              <w:widowControl/>
              <w:jc w:val="left"/>
              <w:rPr>
                <w:rFonts w:ascii="仿宋" w:hAnsi="仿宋" w:eastAsia="仿宋" w:cs="宋体"/>
                <w:color w:val="000000"/>
                <w:kern w:val="0"/>
                <w:sz w:val="24"/>
                <w:szCs w:val="24"/>
              </w:rPr>
            </w:pPr>
            <w:r>
              <w:rPr>
                <w:rFonts w:hint="eastAsia" w:ascii="仿宋" w:hAnsi="仿宋" w:eastAsia="仿宋" w:cs="宋体"/>
                <w:color w:val="000000"/>
                <w:kern w:val="0"/>
                <w:sz w:val="24"/>
                <w:szCs w:val="24"/>
              </w:rPr>
              <w:t>休闲体育协会</w:t>
            </w:r>
          </w:p>
        </w:tc>
        <w:tc>
          <w:tcPr>
            <w:tcW w:w="1667" w:type="dxa"/>
            <w:shd w:val="clear" w:color="auto" w:fill="DEEAF6" w:themeFill="accent5" w:themeFillTint="33"/>
            <w:noWrap/>
          </w:tcPr>
          <w:p>
            <w:pPr>
              <w:widowControl/>
              <w:jc w:val="center"/>
              <w:rPr>
                <w:rFonts w:ascii="仿宋" w:hAnsi="仿宋" w:eastAsia="仿宋" w:cs="宋体"/>
                <w:color w:val="000000"/>
                <w:kern w:val="0"/>
                <w:sz w:val="20"/>
                <w:szCs w:val="21"/>
              </w:rPr>
            </w:pPr>
            <w:r>
              <w:rPr>
                <w:rFonts w:hint="eastAsia" w:ascii="仿宋" w:hAnsi="仿宋" w:eastAsia="仿宋" w:cs="宋体"/>
                <w:color w:val="000000"/>
                <w:kern w:val="0"/>
                <w:sz w:val="20"/>
                <w:szCs w:val="21"/>
              </w:rPr>
              <w:t>25</w:t>
            </w:r>
          </w:p>
        </w:tc>
        <w:tc>
          <w:tcPr>
            <w:tcW w:w="1748" w:type="dxa"/>
            <w:shd w:val="clear" w:color="auto" w:fill="DEEAF6" w:themeFill="accent5" w:themeFillTint="33"/>
            <w:noWrap/>
          </w:tcPr>
          <w:p>
            <w:pPr>
              <w:widowControl/>
              <w:jc w:val="center"/>
              <w:rPr>
                <w:rFonts w:ascii="仿宋" w:hAnsi="仿宋" w:eastAsia="仿宋" w:cs="宋体"/>
                <w:color w:val="000000"/>
                <w:kern w:val="0"/>
                <w:sz w:val="20"/>
                <w:szCs w:val="21"/>
              </w:rPr>
            </w:pPr>
            <w:r>
              <w:rPr>
                <w:rFonts w:hint="eastAsia" w:ascii="仿宋" w:hAnsi="仿宋" w:eastAsia="仿宋" w:cs="宋体"/>
                <w:color w:val="000000"/>
                <w:kern w:val="0"/>
                <w:sz w:val="20"/>
                <w:szCs w:val="21"/>
              </w:rPr>
              <w:t>5</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284" w:hRule="exact"/>
          <w:jc w:val="center"/>
        </w:trPr>
        <w:tc>
          <w:tcPr>
            <w:tcW w:w="709" w:type="dxa"/>
            <w:tcBorders>
              <w:left w:val="single" w:color="CCE8CF" w:themeColor="background1" w:sz="4" w:space="0"/>
            </w:tcBorders>
            <w:shd w:val="clear" w:color="auto" w:fill="5B9BD5" w:themeFill="accent5"/>
            <w:noWrap/>
          </w:tcPr>
          <w:p>
            <w:pPr>
              <w:widowControl/>
              <w:jc w:val="center"/>
              <w:rPr>
                <w:rFonts w:ascii="仿宋" w:hAnsi="仿宋" w:eastAsia="仿宋" w:cs="宋体"/>
                <w:b w:val="0"/>
                <w:bCs w:val="0"/>
                <w:color w:val="CCE8CF" w:themeColor="background1"/>
                <w:kern w:val="0"/>
                <w:sz w:val="24"/>
                <w:szCs w:val="24"/>
              </w:rPr>
            </w:pPr>
            <w:r>
              <w:rPr>
                <w:rFonts w:hint="eastAsia" w:ascii="仿宋" w:hAnsi="仿宋" w:eastAsia="仿宋" w:cs="宋体"/>
                <w:b/>
                <w:bCs/>
                <w:color w:val="CCE8CF" w:themeColor="background1"/>
                <w:kern w:val="0"/>
                <w:sz w:val="24"/>
                <w:szCs w:val="24"/>
              </w:rPr>
              <w:t>9</w:t>
            </w:r>
          </w:p>
        </w:tc>
        <w:tc>
          <w:tcPr>
            <w:tcW w:w="4435" w:type="dxa"/>
            <w:shd w:val="clear" w:color="auto" w:fill="BDD6EE" w:themeFill="accent5" w:themeFillTint="66"/>
          </w:tcPr>
          <w:p>
            <w:pPr>
              <w:widowControl/>
              <w:jc w:val="left"/>
              <w:rPr>
                <w:rFonts w:ascii="仿宋" w:hAnsi="仿宋" w:eastAsia="仿宋" w:cs="宋体"/>
                <w:color w:val="000000"/>
                <w:kern w:val="0"/>
                <w:sz w:val="24"/>
                <w:szCs w:val="24"/>
              </w:rPr>
            </w:pPr>
            <w:r>
              <w:rPr>
                <w:rFonts w:hint="eastAsia" w:ascii="仿宋" w:hAnsi="仿宋" w:eastAsia="仿宋" w:cs="宋体"/>
                <w:color w:val="000000"/>
                <w:kern w:val="0"/>
                <w:sz w:val="24"/>
                <w:szCs w:val="24"/>
              </w:rPr>
              <w:t>校大学生艺术团</w:t>
            </w:r>
          </w:p>
        </w:tc>
        <w:tc>
          <w:tcPr>
            <w:tcW w:w="1667" w:type="dxa"/>
            <w:shd w:val="clear" w:color="auto" w:fill="BDD6EE" w:themeFill="accent5" w:themeFillTint="66"/>
            <w:noWrap/>
          </w:tcPr>
          <w:p>
            <w:pPr>
              <w:widowControl/>
              <w:jc w:val="center"/>
              <w:rPr>
                <w:rFonts w:ascii="仿宋" w:hAnsi="仿宋" w:eastAsia="仿宋" w:cs="宋体"/>
                <w:color w:val="000000"/>
                <w:kern w:val="0"/>
                <w:sz w:val="20"/>
                <w:szCs w:val="21"/>
              </w:rPr>
            </w:pPr>
            <w:r>
              <w:rPr>
                <w:rFonts w:hint="eastAsia" w:ascii="仿宋" w:hAnsi="仿宋" w:eastAsia="仿宋" w:cs="宋体"/>
                <w:color w:val="000000"/>
                <w:kern w:val="0"/>
                <w:sz w:val="20"/>
                <w:szCs w:val="21"/>
              </w:rPr>
              <w:t>25</w:t>
            </w:r>
          </w:p>
        </w:tc>
        <w:tc>
          <w:tcPr>
            <w:tcW w:w="1748" w:type="dxa"/>
            <w:shd w:val="clear" w:color="auto" w:fill="BDD6EE" w:themeFill="accent5" w:themeFillTint="66"/>
            <w:noWrap/>
          </w:tcPr>
          <w:p>
            <w:pPr>
              <w:widowControl/>
              <w:jc w:val="center"/>
              <w:rPr>
                <w:rFonts w:ascii="仿宋" w:hAnsi="仿宋" w:eastAsia="仿宋" w:cs="宋体"/>
                <w:color w:val="000000"/>
                <w:kern w:val="0"/>
                <w:sz w:val="20"/>
                <w:szCs w:val="21"/>
              </w:rPr>
            </w:pPr>
            <w:r>
              <w:rPr>
                <w:rFonts w:hint="eastAsia" w:ascii="仿宋" w:hAnsi="仿宋" w:eastAsia="仿宋" w:cs="宋体"/>
                <w:color w:val="000000"/>
                <w:kern w:val="0"/>
                <w:sz w:val="20"/>
                <w:szCs w:val="21"/>
              </w:rPr>
              <w:t>5</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284" w:hRule="exact"/>
          <w:jc w:val="center"/>
        </w:trPr>
        <w:tc>
          <w:tcPr>
            <w:tcW w:w="709" w:type="dxa"/>
            <w:tcBorders>
              <w:left w:val="single" w:color="CCE8CF" w:themeColor="background1" w:sz="4" w:space="0"/>
            </w:tcBorders>
            <w:shd w:val="clear" w:color="auto" w:fill="5B9BD5" w:themeFill="accent5"/>
            <w:noWrap/>
          </w:tcPr>
          <w:p>
            <w:pPr>
              <w:widowControl/>
              <w:jc w:val="center"/>
              <w:rPr>
                <w:rFonts w:ascii="仿宋" w:hAnsi="仿宋" w:eastAsia="仿宋" w:cs="宋体"/>
                <w:b w:val="0"/>
                <w:bCs w:val="0"/>
                <w:color w:val="CCE8CF" w:themeColor="background1"/>
                <w:kern w:val="0"/>
                <w:sz w:val="24"/>
                <w:szCs w:val="24"/>
              </w:rPr>
            </w:pPr>
            <w:r>
              <w:rPr>
                <w:rFonts w:hint="eastAsia" w:ascii="仿宋" w:hAnsi="仿宋" w:eastAsia="仿宋" w:cs="宋体"/>
                <w:b/>
                <w:bCs/>
                <w:color w:val="CCE8CF" w:themeColor="background1"/>
                <w:kern w:val="0"/>
                <w:sz w:val="24"/>
                <w:szCs w:val="24"/>
              </w:rPr>
              <w:t>10</w:t>
            </w:r>
          </w:p>
        </w:tc>
        <w:tc>
          <w:tcPr>
            <w:tcW w:w="4435" w:type="dxa"/>
            <w:shd w:val="clear" w:color="auto" w:fill="DEEAF6" w:themeFill="accent5" w:themeFillTint="33"/>
          </w:tcPr>
          <w:p>
            <w:pPr>
              <w:widowControl/>
              <w:jc w:val="left"/>
              <w:rPr>
                <w:rFonts w:ascii="仿宋" w:hAnsi="仿宋" w:eastAsia="仿宋" w:cs="宋体"/>
                <w:color w:val="000000"/>
                <w:kern w:val="0"/>
                <w:sz w:val="24"/>
                <w:szCs w:val="24"/>
              </w:rPr>
            </w:pPr>
            <w:r>
              <w:rPr>
                <w:rFonts w:hint="eastAsia" w:ascii="仿宋" w:hAnsi="仿宋" w:eastAsia="仿宋" w:cs="宋体"/>
                <w:color w:val="000000"/>
                <w:kern w:val="0"/>
                <w:sz w:val="24"/>
                <w:szCs w:val="24"/>
              </w:rPr>
              <w:t>校青年学习社</w:t>
            </w:r>
          </w:p>
        </w:tc>
        <w:tc>
          <w:tcPr>
            <w:tcW w:w="1667" w:type="dxa"/>
            <w:shd w:val="clear" w:color="auto" w:fill="DEEAF6" w:themeFill="accent5" w:themeFillTint="33"/>
            <w:noWrap/>
          </w:tcPr>
          <w:p>
            <w:pPr>
              <w:widowControl/>
              <w:jc w:val="center"/>
              <w:rPr>
                <w:rFonts w:ascii="仿宋" w:hAnsi="仿宋" w:eastAsia="仿宋" w:cs="宋体"/>
                <w:color w:val="000000"/>
                <w:kern w:val="0"/>
                <w:sz w:val="20"/>
                <w:szCs w:val="21"/>
              </w:rPr>
            </w:pPr>
            <w:r>
              <w:rPr>
                <w:rFonts w:hint="eastAsia" w:ascii="仿宋" w:hAnsi="仿宋" w:eastAsia="仿宋" w:cs="宋体"/>
                <w:color w:val="000000"/>
                <w:kern w:val="0"/>
                <w:sz w:val="20"/>
                <w:szCs w:val="21"/>
              </w:rPr>
              <w:t>25</w:t>
            </w:r>
          </w:p>
        </w:tc>
        <w:tc>
          <w:tcPr>
            <w:tcW w:w="1748" w:type="dxa"/>
            <w:shd w:val="clear" w:color="auto" w:fill="DEEAF6" w:themeFill="accent5" w:themeFillTint="33"/>
            <w:noWrap/>
          </w:tcPr>
          <w:p>
            <w:pPr>
              <w:widowControl/>
              <w:jc w:val="center"/>
              <w:rPr>
                <w:rFonts w:ascii="仿宋" w:hAnsi="仿宋" w:eastAsia="仿宋" w:cs="宋体"/>
                <w:color w:val="000000"/>
                <w:kern w:val="0"/>
                <w:sz w:val="20"/>
                <w:szCs w:val="21"/>
              </w:rPr>
            </w:pPr>
            <w:r>
              <w:rPr>
                <w:rFonts w:hint="eastAsia" w:ascii="仿宋" w:hAnsi="仿宋" w:eastAsia="仿宋" w:cs="宋体"/>
                <w:color w:val="000000"/>
                <w:kern w:val="0"/>
                <w:sz w:val="20"/>
                <w:szCs w:val="21"/>
              </w:rPr>
              <w:t>5</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284" w:hRule="exact"/>
          <w:jc w:val="center"/>
        </w:trPr>
        <w:tc>
          <w:tcPr>
            <w:tcW w:w="709" w:type="dxa"/>
            <w:tcBorders>
              <w:left w:val="single" w:color="CCE8CF" w:themeColor="background1" w:sz="4" w:space="0"/>
            </w:tcBorders>
            <w:shd w:val="clear" w:color="auto" w:fill="5B9BD5" w:themeFill="accent5"/>
            <w:noWrap/>
          </w:tcPr>
          <w:p>
            <w:pPr>
              <w:widowControl/>
              <w:jc w:val="center"/>
              <w:rPr>
                <w:rFonts w:ascii="仿宋" w:hAnsi="仿宋" w:eastAsia="仿宋" w:cs="宋体"/>
                <w:b w:val="0"/>
                <w:bCs w:val="0"/>
                <w:color w:val="CCE8CF" w:themeColor="background1"/>
                <w:kern w:val="0"/>
                <w:sz w:val="24"/>
                <w:szCs w:val="24"/>
              </w:rPr>
            </w:pPr>
            <w:r>
              <w:rPr>
                <w:rFonts w:hint="eastAsia" w:ascii="仿宋" w:hAnsi="仿宋" w:eastAsia="仿宋" w:cs="宋体"/>
                <w:b/>
                <w:bCs/>
                <w:color w:val="CCE8CF" w:themeColor="background1"/>
                <w:kern w:val="0"/>
                <w:sz w:val="24"/>
                <w:szCs w:val="24"/>
              </w:rPr>
              <w:t>11</w:t>
            </w:r>
          </w:p>
        </w:tc>
        <w:tc>
          <w:tcPr>
            <w:tcW w:w="4435" w:type="dxa"/>
            <w:shd w:val="clear" w:color="auto" w:fill="BDD6EE" w:themeFill="accent5" w:themeFillTint="66"/>
          </w:tcPr>
          <w:p>
            <w:pPr>
              <w:widowControl/>
              <w:jc w:val="left"/>
              <w:rPr>
                <w:rFonts w:ascii="仿宋" w:hAnsi="仿宋" w:eastAsia="仿宋" w:cs="宋体"/>
                <w:color w:val="000000"/>
                <w:kern w:val="0"/>
                <w:sz w:val="24"/>
                <w:szCs w:val="24"/>
              </w:rPr>
            </w:pPr>
            <w:r>
              <w:rPr>
                <w:rFonts w:hint="eastAsia" w:ascii="仿宋" w:hAnsi="仿宋" w:eastAsia="仿宋" w:cs="宋体"/>
                <w:color w:val="000000"/>
                <w:kern w:val="0"/>
                <w:sz w:val="24"/>
                <w:szCs w:val="24"/>
              </w:rPr>
              <w:t>信息与软件学院艺术团</w:t>
            </w:r>
          </w:p>
        </w:tc>
        <w:tc>
          <w:tcPr>
            <w:tcW w:w="1667" w:type="dxa"/>
            <w:shd w:val="clear" w:color="auto" w:fill="BDD6EE" w:themeFill="accent5" w:themeFillTint="66"/>
            <w:noWrap/>
          </w:tcPr>
          <w:p>
            <w:pPr>
              <w:widowControl/>
              <w:jc w:val="center"/>
              <w:rPr>
                <w:rFonts w:ascii="仿宋" w:hAnsi="仿宋" w:eastAsia="仿宋" w:cs="宋体"/>
                <w:color w:val="000000"/>
                <w:kern w:val="0"/>
                <w:sz w:val="20"/>
                <w:szCs w:val="21"/>
              </w:rPr>
            </w:pPr>
            <w:r>
              <w:rPr>
                <w:rFonts w:hint="eastAsia" w:ascii="仿宋" w:hAnsi="仿宋" w:eastAsia="仿宋" w:cs="宋体"/>
                <w:color w:val="000000"/>
                <w:kern w:val="0"/>
                <w:sz w:val="20"/>
                <w:szCs w:val="21"/>
              </w:rPr>
              <w:t>25</w:t>
            </w:r>
          </w:p>
        </w:tc>
        <w:tc>
          <w:tcPr>
            <w:tcW w:w="1748" w:type="dxa"/>
            <w:shd w:val="clear" w:color="auto" w:fill="BDD6EE" w:themeFill="accent5" w:themeFillTint="66"/>
            <w:noWrap/>
          </w:tcPr>
          <w:p>
            <w:pPr>
              <w:widowControl/>
              <w:jc w:val="center"/>
              <w:rPr>
                <w:rFonts w:ascii="仿宋" w:hAnsi="仿宋" w:eastAsia="仿宋" w:cs="宋体"/>
                <w:color w:val="000000"/>
                <w:kern w:val="0"/>
                <w:sz w:val="20"/>
                <w:szCs w:val="21"/>
              </w:rPr>
            </w:pPr>
            <w:r>
              <w:rPr>
                <w:rFonts w:hint="eastAsia" w:ascii="仿宋" w:hAnsi="仿宋" w:eastAsia="仿宋" w:cs="宋体"/>
                <w:color w:val="000000"/>
                <w:kern w:val="0"/>
                <w:sz w:val="20"/>
                <w:szCs w:val="21"/>
              </w:rPr>
              <w:t>5</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284" w:hRule="exact"/>
          <w:jc w:val="center"/>
        </w:trPr>
        <w:tc>
          <w:tcPr>
            <w:tcW w:w="709" w:type="dxa"/>
            <w:tcBorders>
              <w:left w:val="single" w:color="CCE8CF" w:themeColor="background1" w:sz="4" w:space="0"/>
            </w:tcBorders>
            <w:shd w:val="clear" w:color="auto" w:fill="5B9BD5" w:themeFill="accent5"/>
            <w:noWrap/>
          </w:tcPr>
          <w:p>
            <w:pPr>
              <w:widowControl/>
              <w:jc w:val="center"/>
              <w:rPr>
                <w:rFonts w:ascii="仿宋" w:hAnsi="仿宋" w:eastAsia="仿宋" w:cs="宋体"/>
                <w:b w:val="0"/>
                <w:bCs w:val="0"/>
                <w:color w:val="CCE8CF" w:themeColor="background1"/>
                <w:kern w:val="0"/>
                <w:sz w:val="24"/>
                <w:szCs w:val="24"/>
              </w:rPr>
            </w:pPr>
            <w:r>
              <w:rPr>
                <w:rFonts w:hint="eastAsia" w:ascii="仿宋" w:hAnsi="仿宋" w:eastAsia="仿宋" w:cs="宋体"/>
                <w:b/>
                <w:bCs/>
                <w:color w:val="CCE8CF" w:themeColor="background1"/>
                <w:kern w:val="0"/>
                <w:sz w:val="24"/>
                <w:szCs w:val="24"/>
              </w:rPr>
              <w:t>12</w:t>
            </w:r>
          </w:p>
        </w:tc>
        <w:tc>
          <w:tcPr>
            <w:tcW w:w="4435" w:type="dxa"/>
            <w:shd w:val="clear" w:color="auto" w:fill="DEEAF6" w:themeFill="accent5" w:themeFillTint="33"/>
          </w:tcPr>
          <w:p>
            <w:pPr>
              <w:widowControl/>
              <w:jc w:val="left"/>
              <w:rPr>
                <w:rFonts w:ascii="仿宋" w:hAnsi="仿宋" w:eastAsia="仿宋" w:cs="宋体"/>
                <w:color w:val="000000"/>
                <w:kern w:val="0"/>
                <w:sz w:val="24"/>
                <w:szCs w:val="24"/>
              </w:rPr>
            </w:pPr>
            <w:r>
              <w:rPr>
                <w:rFonts w:hint="eastAsia" w:ascii="仿宋" w:hAnsi="仿宋" w:eastAsia="仿宋" w:cs="宋体"/>
                <w:color w:val="000000"/>
                <w:kern w:val="0"/>
                <w:sz w:val="24"/>
                <w:szCs w:val="24"/>
              </w:rPr>
              <w:t>信息与软件学院青年学习社</w:t>
            </w:r>
          </w:p>
        </w:tc>
        <w:tc>
          <w:tcPr>
            <w:tcW w:w="1667" w:type="dxa"/>
            <w:shd w:val="clear" w:color="auto" w:fill="DEEAF6" w:themeFill="accent5" w:themeFillTint="33"/>
            <w:noWrap/>
          </w:tcPr>
          <w:p>
            <w:pPr>
              <w:widowControl/>
              <w:jc w:val="center"/>
              <w:rPr>
                <w:rFonts w:ascii="仿宋" w:hAnsi="仿宋" w:eastAsia="仿宋" w:cs="宋体"/>
                <w:color w:val="000000"/>
                <w:kern w:val="0"/>
                <w:sz w:val="20"/>
                <w:szCs w:val="21"/>
              </w:rPr>
            </w:pPr>
            <w:r>
              <w:rPr>
                <w:rFonts w:hint="eastAsia" w:ascii="仿宋" w:hAnsi="仿宋" w:eastAsia="仿宋" w:cs="宋体"/>
                <w:color w:val="000000"/>
                <w:kern w:val="0"/>
                <w:sz w:val="20"/>
                <w:szCs w:val="21"/>
              </w:rPr>
              <w:t>25</w:t>
            </w:r>
          </w:p>
        </w:tc>
        <w:tc>
          <w:tcPr>
            <w:tcW w:w="1748" w:type="dxa"/>
            <w:shd w:val="clear" w:color="auto" w:fill="DEEAF6" w:themeFill="accent5" w:themeFillTint="33"/>
            <w:noWrap/>
          </w:tcPr>
          <w:p>
            <w:pPr>
              <w:widowControl/>
              <w:jc w:val="center"/>
              <w:rPr>
                <w:rFonts w:ascii="仿宋" w:hAnsi="仿宋" w:eastAsia="仿宋" w:cs="宋体"/>
                <w:color w:val="000000"/>
                <w:kern w:val="0"/>
                <w:sz w:val="20"/>
                <w:szCs w:val="21"/>
              </w:rPr>
            </w:pPr>
            <w:r>
              <w:rPr>
                <w:rFonts w:hint="eastAsia" w:ascii="仿宋" w:hAnsi="仿宋" w:eastAsia="仿宋" w:cs="宋体"/>
                <w:color w:val="000000"/>
                <w:kern w:val="0"/>
                <w:sz w:val="20"/>
                <w:szCs w:val="21"/>
              </w:rPr>
              <w:t>5</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274" w:hRule="exact"/>
          <w:jc w:val="center"/>
        </w:trPr>
        <w:tc>
          <w:tcPr>
            <w:tcW w:w="709" w:type="dxa"/>
            <w:tcBorders>
              <w:left w:val="single" w:color="CCE8CF" w:themeColor="background1" w:sz="4" w:space="0"/>
            </w:tcBorders>
            <w:shd w:val="clear" w:color="auto" w:fill="5B9BD5" w:themeFill="accent5"/>
            <w:noWrap/>
          </w:tcPr>
          <w:p>
            <w:pPr>
              <w:widowControl/>
              <w:jc w:val="center"/>
              <w:rPr>
                <w:rFonts w:ascii="仿宋" w:hAnsi="仿宋" w:eastAsia="仿宋" w:cs="宋体"/>
                <w:b w:val="0"/>
                <w:bCs w:val="0"/>
                <w:color w:val="CCE8CF" w:themeColor="background1"/>
                <w:kern w:val="0"/>
                <w:sz w:val="24"/>
                <w:szCs w:val="24"/>
              </w:rPr>
            </w:pPr>
            <w:r>
              <w:rPr>
                <w:rFonts w:hint="eastAsia" w:ascii="仿宋" w:hAnsi="仿宋" w:eastAsia="仿宋" w:cs="宋体"/>
                <w:b/>
                <w:bCs/>
                <w:color w:val="CCE8CF" w:themeColor="background1"/>
                <w:kern w:val="0"/>
                <w:sz w:val="24"/>
                <w:szCs w:val="24"/>
              </w:rPr>
              <w:t>13</w:t>
            </w:r>
          </w:p>
        </w:tc>
        <w:tc>
          <w:tcPr>
            <w:tcW w:w="4435" w:type="dxa"/>
            <w:shd w:val="clear" w:color="auto" w:fill="BDD6EE" w:themeFill="accent5" w:themeFillTint="66"/>
          </w:tcPr>
          <w:p>
            <w:pPr>
              <w:widowControl/>
              <w:jc w:val="left"/>
              <w:rPr>
                <w:rFonts w:ascii="仿宋" w:hAnsi="仿宋" w:eastAsia="仿宋" w:cs="宋体"/>
                <w:color w:val="000000"/>
                <w:kern w:val="0"/>
                <w:sz w:val="24"/>
                <w:szCs w:val="24"/>
              </w:rPr>
            </w:pPr>
            <w:r>
              <w:rPr>
                <w:rFonts w:hint="eastAsia" w:ascii="仿宋" w:hAnsi="仿宋" w:eastAsia="仿宋" w:cs="宋体"/>
                <w:color w:val="000000"/>
                <w:kern w:val="0"/>
                <w:sz w:val="24"/>
                <w:szCs w:val="24"/>
              </w:rPr>
              <w:t>机电工程学院艺术团</w:t>
            </w:r>
          </w:p>
        </w:tc>
        <w:tc>
          <w:tcPr>
            <w:tcW w:w="1667" w:type="dxa"/>
            <w:shd w:val="clear" w:color="auto" w:fill="BDD6EE" w:themeFill="accent5" w:themeFillTint="66"/>
            <w:noWrap/>
          </w:tcPr>
          <w:p>
            <w:pPr>
              <w:widowControl/>
              <w:jc w:val="center"/>
              <w:rPr>
                <w:rFonts w:ascii="仿宋" w:hAnsi="仿宋" w:eastAsia="仿宋" w:cs="宋体"/>
                <w:color w:val="000000"/>
                <w:kern w:val="0"/>
                <w:sz w:val="20"/>
                <w:szCs w:val="21"/>
              </w:rPr>
            </w:pPr>
            <w:r>
              <w:rPr>
                <w:rFonts w:hint="eastAsia" w:ascii="仿宋" w:hAnsi="仿宋" w:eastAsia="仿宋" w:cs="宋体"/>
                <w:color w:val="000000"/>
                <w:kern w:val="0"/>
                <w:sz w:val="20"/>
                <w:szCs w:val="21"/>
              </w:rPr>
              <w:t>25</w:t>
            </w:r>
          </w:p>
        </w:tc>
        <w:tc>
          <w:tcPr>
            <w:tcW w:w="1748" w:type="dxa"/>
            <w:shd w:val="clear" w:color="auto" w:fill="BDD6EE" w:themeFill="accent5" w:themeFillTint="66"/>
            <w:noWrap/>
          </w:tcPr>
          <w:p>
            <w:pPr>
              <w:widowControl/>
              <w:jc w:val="center"/>
              <w:rPr>
                <w:rFonts w:ascii="仿宋" w:hAnsi="仿宋" w:eastAsia="仿宋" w:cs="宋体"/>
                <w:color w:val="000000"/>
                <w:kern w:val="0"/>
                <w:sz w:val="20"/>
                <w:szCs w:val="21"/>
              </w:rPr>
            </w:pPr>
            <w:r>
              <w:rPr>
                <w:rFonts w:hint="eastAsia" w:ascii="仿宋" w:hAnsi="仿宋" w:eastAsia="仿宋" w:cs="宋体"/>
                <w:color w:val="000000"/>
                <w:kern w:val="0"/>
                <w:sz w:val="20"/>
                <w:szCs w:val="21"/>
              </w:rPr>
              <w:t>5</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284" w:hRule="exact"/>
          <w:jc w:val="center"/>
        </w:trPr>
        <w:tc>
          <w:tcPr>
            <w:tcW w:w="709" w:type="dxa"/>
            <w:tcBorders>
              <w:left w:val="single" w:color="CCE8CF" w:themeColor="background1" w:sz="4" w:space="0"/>
            </w:tcBorders>
            <w:shd w:val="clear" w:color="auto" w:fill="5B9BD5" w:themeFill="accent5"/>
            <w:noWrap/>
          </w:tcPr>
          <w:p>
            <w:pPr>
              <w:widowControl/>
              <w:jc w:val="center"/>
              <w:rPr>
                <w:rFonts w:ascii="仿宋" w:hAnsi="仿宋" w:eastAsia="仿宋" w:cs="宋体"/>
                <w:b w:val="0"/>
                <w:bCs w:val="0"/>
                <w:color w:val="CCE8CF" w:themeColor="background1"/>
                <w:kern w:val="0"/>
                <w:sz w:val="24"/>
                <w:szCs w:val="24"/>
              </w:rPr>
            </w:pPr>
            <w:r>
              <w:rPr>
                <w:rFonts w:hint="eastAsia" w:ascii="仿宋" w:hAnsi="仿宋" w:eastAsia="仿宋" w:cs="宋体"/>
                <w:b/>
                <w:bCs/>
                <w:color w:val="CCE8CF" w:themeColor="background1"/>
                <w:kern w:val="0"/>
                <w:sz w:val="24"/>
                <w:szCs w:val="24"/>
              </w:rPr>
              <w:t>14</w:t>
            </w:r>
          </w:p>
        </w:tc>
        <w:tc>
          <w:tcPr>
            <w:tcW w:w="4435" w:type="dxa"/>
            <w:shd w:val="clear" w:color="auto" w:fill="DEEAF6" w:themeFill="accent5" w:themeFillTint="33"/>
          </w:tcPr>
          <w:p>
            <w:pPr>
              <w:widowControl/>
              <w:jc w:val="left"/>
              <w:rPr>
                <w:rFonts w:ascii="仿宋" w:hAnsi="仿宋" w:eastAsia="仿宋" w:cs="宋体"/>
                <w:color w:val="000000"/>
                <w:kern w:val="0"/>
                <w:sz w:val="24"/>
                <w:szCs w:val="24"/>
              </w:rPr>
            </w:pPr>
            <w:r>
              <w:rPr>
                <w:rFonts w:hint="eastAsia" w:ascii="仿宋" w:hAnsi="仿宋" w:eastAsia="仿宋" w:cs="宋体"/>
                <w:color w:val="000000"/>
                <w:kern w:val="0"/>
                <w:sz w:val="24"/>
                <w:szCs w:val="24"/>
              </w:rPr>
              <w:t>机电工程学院青年学习社</w:t>
            </w:r>
          </w:p>
        </w:tc>
        <w:tc>
          <w:tcPr>
            <w:tcW w:w="1667" w:type="dxa"/>
            <w:shd w:val="clear" w:color="auto" w:fill="DEEAF6" w:themeFill="accent5" w:themeFillTint="33"/>
            <w:noWrap/>
          </w:tcPr>
          <w:p>
            <w:pPr>
              <w:widowControl/>
              <w:jc w:val="center"/>
              <w:rPr>
                <w:rFonts w:ascii="仿宋" w:hAnsi="仿宋" w:eastAsia="仿宋" w:cs="宋体"/>
                <w:color w:val="000000"/>
                <w:kern w:val="0"/>
                <w:sz w:val="20"/>
                <w:szCs w:val="21"/>
              </w:rPr>
            </w:pPr>
            <w:r>
              <w:rPr>
                <w:rFonts w:hint="eastAsia" w:ascii="仿宋" w:hAnsi="仿宋" w:eastAsia="仿宋" w:cs="宋体"/>
                <w:color w:val="000000"/>
                <w:kern w:val="0"/>
                <w:sz w:val="20"/>
                <w:szCs w:val="21"/>
              </w:rPr>
              <w:t>25</w:t>
            </w:r>
          </w:p>
        </w:tc>
        <w:tc>
          <w:tcPr>
            <w:tcW w:w="1748" w:type="dxa"/>
            <w:shd w:val="clear" w:color="auto" w:fill="DEEAF6" w:themeFill="accent5" w:themeFillTint="33"/>
            <w:noWrap/>
          </w:tcPr>
          <w:p>
            <w:pPr>
              <w:widowControl/>
              <w:jc w:val="center"/>
              <w:rPr>
                <w:rFonts w:ascii="仿宋" w:hAnsi="仿宋" w:eastAsia="仿宋" w:cs="宋体"/>
                <w:color w:val="000000"/>
                <w:kern w:val="0"/>
                <w:sz w:val="20"/>
                <w:szCs w:val="21"/>
              </w:rPr>
            </w:pPr>
            <w:r>
              <w:rPr>
                <w:rFonts w:hint="eastAsia" w:ascii="仿宋" w:hAnsi="仿宋" w:eastAsia="仿宋" w:cs="宋体"/>
                <w:color w:val="000000"/>
                <w:kern w:val="0"/>
                <w:sz w:val="20"/>
                <w:szCs w:val="21"/>
              </w:rPr>
              <w:t>5</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284" w:hRule="exact"/>
          <w:jc w:val="center"/>
        </w:trPr>
        <w:tc>
          <w:tcPr>
            <w:tcW w:w="709" w:type="dxa"/>
            <w:tcBorders>
              <w:left w:val="single" w:color="CCE8CF" w:themeColor="background1" w:sz="4" w:space="0"/>
            </w:tcBorders>
            <w:shd w:val="clear" w:color="auto" w:fill="5B9BD5" w:themeFill="accent5"/>
            <w:noWrap/>
          </w:tcPr>
          <w:p>
            <w:pPr>
              <w:widowControl/>
              <w:jc w:val="center"/>
              <w:rPr>
                <w:rFonts w:ascii="仿宋" w:hAnsi="仿宋" w:eastAsia="仿宋" w:cs="宋体"/>
                <w:b w:val="0"/>
                <w:bCs w:val="0"/>
                <w:color w:val="CCE8CF" w:themeColor="background1"/>
                <w:kern w:val="0"/>
                <w:sz w:val="24"/>
                <w:szCs w:val="24"/>
              </w:rPr>
            </w:pPr>
            <w:r>
              <w:rPr>
                <w:rFonts w:hint="eastAsia" w:ascii="仿宋" w:hAnsi="仿宋" w:eastAsia="仿宋" w:cs="宋体"/>
                <w:b/>
                <w:bCs/>
                <w:color w:val="CCE8CF" w:themeColor="background1"/>
                <w:kern w:val="0"/>
                <w:sz w:val="24"/>
                <w:szCs w:val="24"/>
              </w:rPr>
              <w:t>15</w:t>
            </w:r>
          </w:p>
        </w:tc>
        <w:tc>
          <w:tcPr>
            <w:tcW w:w="4435" w:type="dxa"/>
            <w:shd w:val="clear" w:color="auto" w:fill="BDD6EE" w:themeFill="accent5" w:themeFillTint="66"/>
          </w:tcPr>
          <w:p>
            <w:pPr>
              <w:widowControl/>
              <w:jc w:val="left"/>
              <w:rPr>
                <w:rFonts w:ascii="仿宋" w:hAnsi="仿宋" w:eastAsia="仿宋" w:cs="宋体"/>
                <w:color w:val="000000"/>
                <w:kern w:val="0"/>
                <w:sz w:val="24"/>
                <w:szCs w:val="24"/>
              </w:rPr>
            </w:pPr>
            <w:r>
              <w:rPr>
                <w:rFonts w:hint="eastAsia" w:ascii="仿宋" w:hAnsi="仿宋" w:eastAsia="仿宋" w:cs="宋体"/>
                <w:color w:val="000000"/>
                <w:kern w:val="0"/>
                <w:sz w:val="24"/>
                <w:szCs w:val="24"/>
              </w:rPr>
              <w:t>艺术与建筑学院艺术团</w:t>
            </w:r>
          </w:p>
        </w:tc>
        <w:tc>
          <w:tcPr>
            <w:tcW w:w="1667" w:type="dxa"/>
            <w:shd w:val="clear" w:color="auto" w:fill="BDD6EE" w:themeFill="accent5" w:themeFillTint="66"/>
            <w:noWrap/>
          </w:tcPr>
          <w:p>
            <w:pPr>
              <w:widowControl/>
              <w:jc w:val="center"/>
              <w:rPr>
                <w:rFonts w:ascii="仿宋" w:hAnsi="仿宋" w:eastAsia="仿宋" w:cs="宋体"/>
                <w:color w:val="000000"/>
                <w:kern w:val="0"/>
                <w:sz w:val="20"/>
                <w:szCs w:val="21"/>
              </w:rPr>
            </w:pPr>
            <w:r>
              <w:rPr>
                <w:rFonts w:hint="eastAsia" w:ascii="仿宋" w:hAnsi="仿宋" w:eastAsia="仿宋" w:cs="宋体"/>
                <w:color w:val="000000"/>
                <w:kern w:val="0"/>
                <w:sz w:val="20"/>
                <w:szCs w:val="21"/>
              </w:rPr>
              <w:t>25</w:t>
            </w:r>
          </w:p>
        </w:tc>
        <w:tc>
          <w:tcPr>
            <w:tcW w:w="1748" w:type="dxa"/>
            <w:shd w:val="clear" w:color="auto" w:fill="BDD6EE" w:themeFill="accent5" w:themeFillTint="66"/>
            <w:noWrap/>
          </w:tcPr>
          <w:p>
            <w:pPr>
              <w:widowControl/>
              <w:jc w:val="center"/>
              <w:rPr>
                <w:rFonts w:ascii="仿宋" w:hAnsi="仿宋" w:eastAsia="仿宋" w:cs="宋体"/>
                <w:color w:val="000000"/>
                <w:kern w:val="0"/>
                <w:sz w:val="20"/>
                <w:szCs w:val="21"/>
              </w:rPr>
            </w:pPr>
            <w:r>
              <w:rPr>
                <w:rFonts w:hint="eastAsia" w:ascii="仿宋" w:hAnsi="仿宋" w:eastAsia="仿宋" w:cs="宋体"/>
                <w:color w:val="000000"/>
                <w:kern w:val="0"/>
                <w:sz w:val="20"/>
                <w:szCs w:val="21"/>
              </w:rPr>
              <w:t>5</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284" w:hRule="exact"/>
          <w:jc w:val="center"/>
        </w:trPr>
        <w:tc>
          <w:tcPr>
            <w:tcW w:w="709" w:type="dxa"/>
            <w:tcBorders>
              <w:left w:val="single" w:color="CCE8CF" w:themeColor="background1" w:sz="4" w:space="0"/>
            </w:tcBorders>
            <w:shd w:val="clear" w:color="auto" w:fill="5B9BD5" w:themeFill="accent5"/>
            <w:noWrap/>
          </w:tcPr>
          <w:p>
            <w:pPr>
              <w:widowControl/>
              <w:jc w:val="center"/>
              <w:rPr>
                <w:rFonts w:ascii="仿宋" w:hAnsi="仿宋" w:eastAsia="仿宋" w:cs="宋体"/>
                <w:b w:val="0"/>
                <w:bCs w:val="0"/>
                <w:color w:val="CCE8CF" w:themeColor="background1"/>
                <w:kern w:val="0"/>
                <w:sz w:val="24"/>
                <w:szCs w:val="24"/>
              </w:rPr>
            </w:pPr>
            <w:r>
              <w:rPr>
                <w:rFonts w:hint="eastAsia" w:ascii="仿宋" w:hAnsi="仿宋" w:eastAsia="仿宋" w:cs="宋体"/>
                <w:b/>
                <w:bCs/>
                <w:color w:val="CCE8CF" w:themeColor="background1"/>
                <w:kern w:val="0"/>
                <w:sz w:val="24"/>
                <w:szCs w:val="24"/>
              </w:rPr>
              <w:t>16</w:t>
            </w:r>
          </w:p>
        </w:tc>
        <w:tc>
          <w:tcPr>
            <w:tcW w:w="4435" w:type="dxa"/>
            <w:shd w:val="clear" w:color="auto" w:fill="DEEAF6" w:themeFill="accent5" w:themeFillTint="33"/>
          </w:tcPr>
          <w:p>
            <w:pPr>
              <w:widowControl/>
              <w:jc w:val="left"/>
              <w:rPr>
                <w:rFonts w:ascii="仿宋" w:hAnsi="仿宋" w:eastAsia="仿宋" w:cs="宋体"/>
                <w:color w:val="000000"/>
                <w:kern w:val="0"/>
                <w:sz w:val="24"/>
                <w:szCs w:val="24"/>
              </w:rPr>
            </w:pPr>
            <w:r>
              <w:rPr>
                <w:rFonts w:hint="eastAsia" w:ascii="仿宋" w:hAnsi="仿宋" w:eastAsia="仿宋" w:cs="宋体"/>
                <w:color w:val="000000"/>
                <w:kern w:val="0"/>
                <w:sz w:val="24"/>
                <w:szCs w:val="24"/>
              </w:rPr>
              <w:t>艺术与建筑学院青年学习社</w:t>
            </w:r>
          </w:p>
        </w:tc>
        <w:tc>
          <w:tcPr>
            <w:tcW w:w="1667" w:type="dxa"/>
            <w:shd w:val="clear" w:color="auto" w:fill="DEEAF6" w:themeFill="accent5" w:themeFillTint="33"/>
            <w:noWrap/>
          </w:tcPr>
          <w:p>
            <w:pPr>
              <w:widowControl/>
              <w:jc w:val="center"/>
              <w:rPr>
                <w:rFonts w:ascii="仿宋" w:hAnsi="仿宋" w:eastAsia="仿宋" w:cs="宋体"/>
                <w:color w:val="000000"/>
                <w:kern w:val="0"/>
                <w:sz w:val="20"/>
                <w:szCs w:val="21"/>
              </w:rPr>
            </w:pPr>
            <w:r>
              <w:rPr>
                <w:rFonts w:hint="eastAsia" w:ascii="仿宋" w:hAnsi="仿宋" w:eastAsia="仿宋" w:cs="宋体"/>
                <w:color w:val="000000"/>
                <w:kern w:val="0"/>
                <w:sz w:val="20"/>
                <w:szCs w:val="21"/>
              </w:rPr>
              <w:t>25</w:t>
            </w:r>
          </w:p>
        </w:tc>
        <w:tc>
          <w:tcPr>
            <w:tcW w:w="1748" w:type="dxa"/>
            <w:shd w:val="clear" w:color="auto" w:fill="DEEAF6" w:themeFill="accent5" w:themeFillTint="33"/>
            <w:noWrap/>
          </w:tcPr>
          <w:p>
            <w:pPr>
              <w:widowControl/>
              <w:jc w:val="center"/>
              <w:rPr>
                <w:rFonts w:ascii="仿宋" w:hAnsi="仿宋" w:eastAsia="仿宋" w:cs="宋体"/>
                <w:color w:val="000000"/>
                <w:kern w:val="0"/>
                <w:sz w:val="20"/>
                <w:szCs w:val="21"/>
              </w:rPr>
            </w:pPr>
            <w:r>
              <w:rPr>
                <w:rFonts w:hint="eastAsia" w:ascii="仿宋" w:hAnsi="仿宋" w:eastAsia="仿宋" w:cs="宋体"/>
                <w:color w:val="000000"/>
                <w:kern w:val="0"/>
                <w:sz w:val="20"/>
                <w:szCs w:val="21"/>
              </w:rPr>
              <w:t>5</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284" w:hRule="exact"/>
          <w:jc w:val="center"/>
        </w:trPr>
        <w:tc>
          <w:tcPr>
            <w:tcW w:w="709" w:type="dxa"/>
            <w:tcBorders>
              <w:left w:val="single" w:color="CCE8CF" w:themeColor="background1" w:sz="4" w:space="0"/>
            </w:tcBorders>
            <w:shd w:val="clear" w:color="auto" w:fill="5B9BD5" w:themeFill="accent5"/>
            <w:noWrap/>
          </w:tcPr>
          <w:p>
            <w:pPr>
              <w:widowControl/>
              <w:jc w:val="center"/>
              <w:rPr>
                <w:rFonts w:ascii="仿宋" w:hAnsi="仿宋" w:eastAsia="仿宋" w:cs="宋体"/>
                <w:b w:val="0"/>
                <w:bCs w:val="0"/>
                <w:color w:val="CCE8CF" w:themeColor="background1"/>
                <w:kern w:val="0"/>
                <w:sz w:val="24"/>
                <w:szCs w:val="24"/>
              </w:rPr>
            </w:pPr>
            <w:r>
              <w:rPr>
                <w:rFonts w:hint="eastAsia" w:ascii="仿宋" w:hAnsi="仿宋" w:eastAsia="仿宋" w:cs="宋体"/>
                <w:b/>
                <w:bCs/>
                <w:color w:val="CCE8CF" w:themeColor="background1"/>
                <w:kern w:val="0"/>
                <w:sz w:val="24"/>
                <w:szCs w:val="24"/>
              </w:rPr>
              <w:t>17</w:t>
            </w:r>
          </w:p>
        </w:tc>
        <w:tc>
          <w:tcPr>
            <w:tcW w:w="4435" w:type="dxa"/>
            <w:shd w:val="clear" w:color="auto" w:fill="BDD6EE" w:themeFill="accent5" w:themeFillTint="66"/>
          </w:tcPr>
          <w:p>
            <w:pPr>
              <w:widowControl/>
              <w:jc w:val="left"/>
              <w:rPr>
                <w:rFonts w:ascii="仿宋" w:hAnsi="仿宋" w:eastAsia="仿宋" w:cs="宋体"/>
                <w:color w:val="000000"/>
                <w:kern w:val="0"/>
                <w:sz w:val="24"/>
                <w:szCs w:val="24"/>
              </w:rPr>
            </w:pPr>
            <w:r>
              <w:rPr>
                <w:rFonts w:hint="eastAsia" w:ascii="仿宋" w:hAnsi="仿宋" w:eastAsia="仿宋" w:cs="宋体"/>
                <w:color w:val="000000"/>
                <w:kern w:val="0"/>
                <w:sz w:val="24"/>
                <w:szCs w:val="24"/>
              </w:rPr>
              <w:t>国际商学院艺术团</w:t>
            </w:r>
          </w:p>
        </w:tc>
        <w:tc>
          <w:tcPr>
            <w:tcW w:w="1667" w:type="dxa"/>
            <w:shd w:val="clear" w:color="auto" w:fill="BDD6EE" w:themeFill="accent5" w:themeFillTint="66"/>
            <w:noWrap/>
          </w:tcPr>
          <w:p>
            <w:pPr>
              <w:widowControl/>
              <w:jc w:val="center"/>
              <w:rPr>
                <w:rFonts w:ascii="仿宋" w:hAnsi="仿宋" w:eastAsia="仿宋" w:cs="宋体"/>
                <w:color w:val="000000"/>
                <w:kern w:val="0"/>
                <w:sz w:val="20"/>
                <w:szCs w:val="21"/>
              </w:rPr>
            </w:pPr>
            <w:r>
              <w:rPr>
                <w:rFonts w:hint="eastAsia" w:ascii="仿宋" w:hAnsi="仿宋" w:eastAsia="仿宋" w:cs="宋体"/>
                <w:color w:val="000000"/>
                <w:kern w:val="0"/>
                <w:sz w:val="20"/>
                <w:szCs w:val="21"/>
              </w:rPr>
              <w:t>25</w:t>
            </w:r>
          </w:p>
        </w:tc>
        <w:tc>
          <w:tcPr>
            <w:tcW w:w="1748" w:type="dxa"/>
            <w:shd w:val="clear" w:color="auto" w:fill="BDD6EE" w:themeFill="accent5" w:themeFillTint="66"/>
            <w:noWrap/>
          </w:tcPr>
          <w:p>
            <w:pPr>
              <w:widowControl/>
              <w:jc w:val="center"/>
              <w:rPr>
                <w:rFonts w:ascii="仿宋" w:hAnsi="仿宋" w:eastAsia="仿宋" w:cs="宋体"/>
                <w:color w:val="000000"/>
                <w:kern w:val="0"/>
                <w:sz w:val="20"/>
                <w:szCs w:val="21"/>
              </w:rPr>
            </w:pPr>
            <w:r>
              <w:rPr>
                <w:rFonts w:hint="eastAsia" w:ascii="仿宋" w:hAnsi="仿宋" w:eastAsia="仿宋" w:cs="宋体"/>
                <w:color w:val="000000"/>
                <w:kern w:val="0"/>
                <w:sz w:val="20"/>
                <w:szCs w:val="21"/>
              </w:rPr>
              <w:t>5</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284" w:hRule="exact"/>
          <w:jc w:val="center"/>
        </w:trPr>
        <w:tc>
          <w:tcPr>
            <w:tcW w:w="709" w:type="dxa"/>
            <w:tcBorders>
              <w:left w:val="single" w:color="CCE8CF" w:themeColor="background1" w:sz="4" w:space="0"/>
            </w:tcBorders>
            <w:shd w:val="clear" w:color="auto" w:fill="5B9BD5" w:themeFill="accent5"/>
            <w:noWrap/>
          </w:tcPr>
          <w:p>
            <w:pPr>
              <w:widowControl/>
              <w:jc w:val="center"/>
              <w:rPr>
                <w:rFonts w:ascii="仿宋" w:hAnsi="仿宋" w:eastAsia="仿宋" w:cs="宋体"/>
                <w:b w:val="0"/>
                <w:bCs w:val="0"/>
                <w:color w:val="CCE8CF" w:themeColor="background1"/>
                <w:kern w:val="0"/>
                <w:sz w:val="24"/>
                <w:szCs w:val="24"/>
              </w:rPr>
            </w:pPr>
            <w:r>
              <w:rPr>
                <w:rFonts w:hint="eastAsia" w:ascii="仿宋" w:hAnsi="仿宋" w:eastAsia="仿宋" w:cs="宋体"/>
                <w:b/>
                <w:bCs/>
                <w:color w:val="CCE8CF" w:themeColor="background1"/>
                <w:kern w:val="0"/>
                <w:sz w:val="24"/>
                <w:szCs w:val="24"/>
              </w:rPr>
              <w:t>18</w:t>
            </w:r>
          </w:p>
        </w:tc>
        <w:tc>
          <w:tcPr>
            <w:tcW w:w="4435" w:type="dxa"/>
            <w:shd w:val="clear" w:color="auto" w:fill="DEEAF6" w:themeFill="accent5" w:themeFillTint="33"/>
          </w:tcPr>
          <w:p>
            <w:pPr>
              <w:widowControl/>
              <w:jc w:val="left"/>
              <w:rPr>
                <w:rFonts w:ascii="仿宋" w:hAnsi="仿宋" w:eastAsia="仿宋" w:cs="宋体"/>
                <w:color w:val="000000"/>
                <w:kern w:val="0"/>
                <w:sz w:val="24"/>
                <w:szCs w:val="24"/>
              </w:rPr>
            </w:pPr>
            <w:r>
              <w:rPr>
                <w:rFonts w:hint="eastAsia" w:ascii="仿宋" w:hAnsi="仿宋" w:eastAsia="仿宋" w:cs="宋体"/>
                <w:color w:val="000000"/>
                <w:kern w:val="0"/>
                <w:sz w:val="24"/>
                <w:szCs w:val="24"/>
              </w:rPr>
              <w:t>国际商学院青年学习社</w:t>
            </w:r>
          </w:p>
        </w:tc>
        <w:tc>
          <w:tcPr>
            <w:tcW w:w="1667" w:type="dxa"/>
            <w:shd w:val="clear" w:color="auto" w:fill="DEEAF6" w:themeFill="accent5" w:themeFillTint="33"/>
            <w:noWrap/>
          </w:tcPr>
          <w:p>
            <w:pPr>
              <w:widowControl/>
              <w:jc w:val="center"/>
              <w:rPr>
                <w:rFonts w:ascii="仿宋" w:hAnsi="仿宋" w:eastAsia="仿宋" w:cs="宋体"/>
                <w:color w:val="000000"/>
                <w:kern w:val="0"/>
                <w:sz w:val="20"/>
                <w:szCs w:val="21"/>
              </w:rPr>
            </w:pPr>
            <w:r>
              <w:rPr>
                <w:rFonts w:hint="eastAsia" w:ascii="仿宋" w:hAnsi="仿宋" w:eastAsia="仿宋" w:cs="宋体"/>
                <w:color w:val="000000"/>
                <w:kern w:val="0"/>
                <w:sz w:val="20"/>
                <w:szCs w:val="21"/>
              </w:rPr>
              <w:t>25</w:t>
            </w:r>
          </w:p>
        </w:tc>
        <w:tc>
          <w:tcPr>
            <w:tcW w:w="1748" w:type="dxa"/>
            <w:shd w:val="clear" w:color="auto" w:fill="DEEAF6" w:themeFill="accent5" w:themeFillTint="33"/>
            <w:noWrap/>
          </w:tcPr>
          <w:p>
            <w:pPr>
              <w:widowControl/>
              <w:jc w:val="center"/>
              <w:rPr>
                <w:rFonts w:ascii="仿宋" w:hAnsi="仿宋" w:eastAsia="仿宋" w:cs="宋体"/>
                <w:color w:val="000000"/>
                <w:kern w:val="0"/>
                <w:sz w:val="20"/>
                <w:szCs w:val="21"/>
              </w:rPr>
            </w:pPr>
            <w:r>
              <w:rPr>
                <w:rFonts w:hint="eastAsia" w:ascii="仿宋" w:hAnsi="仿宋" w:eastAsia="仿宋" w:cs="宋体"/>
                <w:color w:val="000000"/>
                <w:kern w:val="0"/>
                <w:sz w:val="20"/>
                <w:szCs w:val="21"/>
              </w:rPr>
              <w:t>5</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284" w:hRule="exact"/>
          <w:jc w:val="center"/>
        </w:trPr>
        <w:tc>
          <w:tcPr>
            <w:tcW w:w="709" w:type="dxa"/>
            <w:tcBorders>
              <w:left w:val="single" w:color="CCE8CF" w:themeColor="background1" w:sz="4" w:space="0"/>
            </w:tcBorders>
            <w:shd w:val="clear" w:color="auto" w:fill="5B9BD5" w:themeFill="accent5"/>
            <w:noWrap/>
          </w:tcPr>
          <w:p>
            <w:pPr>
              <w:widowControl/>
              <w:jc w:val="center"/>
              <w:rPr>
                <w:rFonts w:ascii="仿宋" w:hAnsi="仿宋" w:eastAsia="仿宋" w:cs="宋体"/>
                <w:b w:val="0"/>
                <w:bCs w:val="0"/>
                <w:color w:val="CCE8CF" w:themeColor="background1"/>
                <w:kern w:val="0"/>
                <w:sz w:val="24"/>
                <w:szCs w:val="24"/>
              </w:rPr>
            </w:pPr>
            <w:r>
              <w:rPr>
                <w:rFonts w:hint="eastAsia" w:ascii="仿宋" w:hAnsi="仿宋" w:eastAsia="仿宋" w:cs="宋体"/>
                <w:b/>
                <w:bCs/>
                <w:color w:val="CCE8CF" w:themeColor="background1"/>
                <w:kern w:val="0"/>
                <w:sz w:val="24"/>
                <w:szCs w:val="24"/>
              </w:rPr>
              <w:t>19</w:t>
            </w:r>
          </w:p>
        </w:tc>
        <w:tc>
          <w:tcPr>
            <w:tcW w:w="4435" w:type="dxa"/>
            <w:shd w:val="clear" w:color="auto" w:fill="BDD6EE" w:themeFill="accent5" w:themeFillTint="66"/>
          </w:tcPr>
          <w:p>
            <w:pPr>
              <w:widowControl/>
              <w:jc w:val="left"/>
              <w:rPr>
                <w:rFonts w:ascii="仿宋" w:hAnsi="仿宋" w:eastAsia="仿宋" w:cs="宋体"/>
                <w:color w:val="000000"/>
                <w:kern w:val="0"/>
                <w:sz w:val="24"/>
                <w:szCs w:val="24"/>
              </w:rPr>
            </w:pPr>
            <w:r>
              <w:rPr>
                <w:rFonts w:hint="eastAsia" w:ascii="仿宋" w:hAnsi="仿宋" w:eastAsia="仿宋" w:cs="宋体"/>
                <w:color w:val="000000"/>
                <w:kern w:val="0"/>
                <w:sz w:val="24"/>
                <w:szCs w:val="24"/>
              </w:rPr>
              <w:t>医学与公共服务学院艺术团</w:t>
            </w:r>
          </w:p>
        </w:tc>
        <w:tc>
          <w:tcPr>
            <w:tcW w:w="1667" w:type="dxa"/>
            <w:shd w:val="clear" w:color="auto" w:fill="BDD6EE" w:themeFill="accent5" w:themeFillTint="66"/>
            <w:noWrap/>
          </w:tcPr>
          <w:p>
            <w:pPr>
              <w:widowControl/>
              <w:jc w:val="center"/>
              <w:rPr>
                <w:rFonts w:ascii="仿宋" w:hAnsi="仿宋" w:eastAsia="仿宋" w:cs="宋体"/>
                <w:color w:val="000000"/>
                <w:kern w:val="0"/>
                <w:sz w:val="20"/>
                <w:szCs w:val="21"/>
              </w:rPr>
            </w:pPr>
            <w:r>
              <w:rPr>
                <w:rFonts w:hint="eastAsia" w:ascii="仿宋" w:hAnsi="仿宋" w:eastAsia="仿宋" w:cs="宋体"/>
                <w:color w:val="000000"/>
                <w:kern w:val="0"/>
                <w:sz w:val="20"/>
                <w:szCs w:val="21"/>
              </w:rPr>
              <w:t>25</w:t>
            </w:r>
          </w:p>
        </w:tc>
        <w:tc>
          <w:tcPr>
            <w:tcW w:w="1748" w:type="dxa"/>
            <w:shd w:val="clear" w:color="auto" w:fill="BDD6EE" w:themeFill="accent5" w:themeFillTint="66"/>
            <w:noWrap/>
          </w:tcPr>
          <w:p>
            <w:pPr>
              <w:widowControl/>
              <w:jc w:val="center"/>
              <w:rPr>
                <w:rFonts w:ascii="仿宋" w:hAnsi="仿宋" w:eastAsia="仿宋" w:cs="宋体"/>
                <w:color w:val="000000"/>
                <w:kern w:val="0"/>
                <w:sz w:val="20"/>
                <w:szCs w:val="21"/>
              </w:rPr>
            </w:pPr>
            <w:r>
              <w:rPr>
                <w:rFonts w:hint="eastAsia" w:ascii="仿宋" w:hAnsi="仿宋" w:eastAsia="仿宋" w:cs="宋体"/>
                <w:color w:val="000000"/>
                <w:kern w:val="0"/>
                <w:sz w:val="20"/>
                <w:szCs w:val="21"/>
              </w:rPr>
              <w:t>5</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284" w:hRule="exact"/>
          <w:jc w:val="center"/>
        </w:trPr>
        <w:tc>
          <w:tcPr>
            <w:tcW w:w="709" w:type="dxa"/>
            <w:tcBorders>
              <w:left w:val="single" w:color="CCE8CF" w:themeColor="background1" w:sz="4" w:space="0"/>
            </w:tcBorders>
            <w:shd w:val="clear" w:color="auto" w:fill="5B9BD5" w:themeFill="accent5"/>
            <w:noWrap/>
          </w:tcPr>
          <w:p>
            <w:pPr>
              <w:widowControl/>
              <w:jc w:val="center"/>
              <w:rPr>
                <w:rFonts w:ascii="仿宋" w:hAnsi="仿宋" w:eastAsia="仿宋" w:cs="宋体"/>
                <w:b w:val="0"/>
                <w:bCs w:val="0"/>
                <w:color w:val="CCE8CF" w:themeColor="background1"/>
                <w:kern w:val="0"/>
                <w:sz w:val="24"/>
                <w:szCs w:val="24"/>
              </w:rPr>
            </w:pPr>
            <w:r>
              <w:rPr>
                <w:rFonts w:hint="eastAsia" w:ascii="仿宋" w:hAnsi="仿宋" w:eastAsia="仿宋" w:cs="宋体"/>
                <w:b/>
                <w:bCs/>
                <w:color w:val="CCE8CF" w:themeColor="background1"/>
                <w:kern w:val="0"/>
                <w:sz w:val="24"/>
                <w:szCs w:val="24"/>
              </w:rPr>
              <w:t>20</w:t>
            </w:r>
          </w:p>
        </w:tc>
        <w:tc>
          <w:tcPr>
            <w:tcW w:w="4435" w:type="dxa"/>
            <w:shd w:val="clear" w:color="auto" w:fill="DEEAF6" w:themeFill="accent5" w:themeFillTint="33"/>
          </w:tcPr>
          <w:p>
            <w:pPr>
              <w:widowControl/>
              <w:jc w:val="left"/>
              <w:rPr>
                <w:rFonts w:ascii="仿宋" w:hAnsi="仿宋" w:eastAsia="仿宋" w:cs="宋体"/>
                <w:color w:val="000000"/>
                <w:kern w:val="0"/>
                <w:sz w:val="24"/>
                <w:szCs w:val="24"/>
              </w:rPr>
            </w:pPr>
            <w:r>
              <w:rPr>
                <w:rFonts w:hint="eastAsia" w:ascii="仿宋" w:hAnsi="仿宋" w:eastAsia="仿宋" w:cs="宋体"/>
                <w:color w:val="000000"/>
                <w:kern w:val="0"/>
                <w:sz w:val="24"/>
                <w:szCs w:val="24"/>
              </w:rPr>
              <w:t>医学与公共服务学院青年学习社</w:t>
            </w:r>
          </w:p>
        </w:tc>
        <w:tc>
          <w:tcPr>
            <w:tcW w:w="1667" w:type="dxa"/>
            <w:shd w:val="clear" w:color="auto" w:fill="DEEAF6" w:themeFill="accent5" w:themeFillTint="33"/>
            <w:noWrap/>
          </w:tcPr>
          <w:p>
            <w:pPr>
              <w:widowControl/>
              <w:jc w:val="center"/>
              <w:rPr>
                <w:rFonts w:ascii="仿宋" w:hAnsi="仿宋" w:eastAsia="仿宋" w:cs="宋体"/>
                <w:color w:val="000000"/>
                <w:kern w:val="0"/>
                <w:sz w:val="20"/>
                <w:szCs w:val="21"/>
              </w:rPr>
            </w:pPr>
            <w:r>
              <w:rPr>
                <w:rFonts w:hint="eastAsia" w:ascii="仿宋" w:hAnsi="仿宋" w:eastAsia="仿宋" w:cs="宋体"/>
                <w:color w:val="000000"/>
                <w:kern w:val="0"/>
                <w:sz w:val="20"/>
                <w:szCs w:val="21"/>
              </w:rPr>
              <w:t>25</w:t>
            </w:r>
          </w:p>
        </w:tc>
        <w:tc>
          <w:tcPr>
            <w:tcW w:w="1748" w:type="dxa"/>
            <w:shd w:val="clear" w:color="auto" w:fill="DEEAF6" w:themeFill="accent5" w:themeFillTint="33"/>
            <w:noWrap/>
          </w:tcPr>
          <w:p>
            <w:pPr>
              <w:widowControl/>
              <w:jc w:val="center"/>
              <w:rPr>
                <w:rFonts w:ascii="仿宋" w:hAnsi="仿宋" w:eastAsia="仿宋" w:cs="宋体"/>
                <w:color w:val="000000"/>
                <w:kern w:val="0"/>
                <w:sz w:val="20"/>
                <w:szCs w:val="21"/>
              </w:rPr>
            </w:pPr>
            <w:r>
              <w:rPr>
                <w:rFonts w:hint="eastAsia" w:ascii="仿宋" w:hAnsi="仿宋" w:eastAsia="仿宋" w:cs="宋体"/>
                <w:color w:val="000000"/>
                <w:kern w:val="0"/>
                <w:sz w:val="20"/>
                <w:szCs w:val="21"/>
              </w:rPr>
              <w:t>5</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284" w:hRule="exact"/>
          <w:jc w:val="center"/>
        </w:trPr>
        <w:tc>
          <w:tcPr>
            <w:tcW w:w="5144" w:type="dxa"/>
            <w:gridSpan w:val="2"/>
            <w:tcBorders>
              <w:left w:val="single" w:color="CCE8CF" w:themeColor="background1" w:sz="4" w:space="0"/>
              <w:bottom w:val="single" w:color="CCE8CF" w:themeColor="background1" w:sz="4" w:space="0"/>
            </w:tcBorders>
            <w:shd w:val="clear" w:color="auto" w:fill="5B9BD5" w:themeFill="accent5"/>
          </w:tcPr>
          <w:p>
            <w:pPr>
              <w:widowControl/>
              <w:jc w:val="center"/>
              <w:rPr>
                <w:rFonts w:ascii="仿宋" w:hAnsi="仿宋" w:eastAsia="仿宋" w:cs="宋体"/>
                <w:b w:val="0"/>
                <w:bCs w:val="0"/>
                <w:color w:val="000000"/>
                <w:kern w:val="0"/>
                <w:sz w:val="24"/>
                <w:szCs w:val="24"/>
              </w:rPr>
            </w:pPr>
            <w:r>
              <w:rPr>
                <w:rFonts w:hint="eastAsia" w:ascii="仿宋" w:hAnsi="仿宋" w:eastAsia="仿宋" w:cs="宋体"/>
                <w:b/>
                <w:bCs/>
                <w:color w:val="CCE8CF" w:themeColor="background1"/>
                <w:kern w:val="0"/>
                <w:sz w:val="24"/>
                <w:szCs w:val="24"/>
              </w:rPr>
              <w:t>参加人数合计</w:t>
            </w:r>
          </w:p>
        </w:tc>
        <w:tc>
          <w:tcPr>
            <w:tcW w:w="1667" w:type="dxa"/>
            <w:shd w:val="clear" w:color="auto" w:fill="BDD6EE" w:themeFill="accent5" w:themeFillTint="66"/>
          </w:tcPr>
          <w:p>
            <w:pPr>
              <w:widowControl/>
              <w:jc w:val="center"/>
              <w:rPr>
                <w:rFonts w:ascii="仿宋" w:hAnsi="仿宋" w:eastAsia="仿宋" w:cs="宋体"/>
                <w:color w:val="000000"/>
                <w:kern w:val="0"/>
                <w:sz w:val="20"/>
                <w:szCs w:val="21"/>
              </w:rPr>
            </w:pPr>
            <w:r>
              <w:rPr>
                <w:rFonts w:hint="eastAsia" w:ascii="仿宋" w:hAnsi="仿宋" w:eastAsia="仿宋" w:cs="宋体"/>
                <w:color w:val="000000"/>
                <w:kern w:val="0"/>
                <w:sz w:val="20"/>
                <w:szCs w:val="21"/>
              </w:rPr>
              <w:t>826</w:t>
            </w:r>
          </w:p>
        </w:tc>
        <w:tc>
          <w:tcPr>
            <w:tcW w:w="1748" w:type="dxa"/>
            <w:shd w:val="clear" w:color="auto" w:fill="BDD6EE" w:themeFill="accent5" w:themeFillTint="66"/>
          </w:tcPr>
          <w:p>
            <w:pPr>
              <w:widowControl/>
              <w:jc w:val="center"/>
              <w:rPr>
                <w:rFonts w:ascii="仿宋" w:hAnsi="仿宋" w:eastAsia="仿宋" w:cs="宋体"/>
                <w:color w:val="000000"/>
                <w:kern w:val="0"/>
                <w:sz w:val="20"/>
                <w:szCs w:val="21"/>
              </w:rPr>
            </w:pPr>
            <w:r>
              <w:rPr>
                <w:rFonts w:hint="eastAsia" w:ascii="仿宋" w:hAnsi="仿宋" w:eastAsia="仿宋" w:cs="宋体"/>
                <w:color w:val="000000"/>
                <w:kern w:val="0"/>
                <w:sz w:val="20"/>
                <w:szCs w:val="21"/>
              </w:rPr>
              <w:t>394</w:t>
            </w:r>
          </w:p>
        </w:tc>
      </w:tr>
    </w:tbl>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工匠大师”进校园，继特邀中国工艺美术大师、红木雕刻传承人钟锦德先生来该校开展《守正创新，弘扬传统技艺工匠精神》主题讲座后，学校组织走访慰问落户该校艺术与建筑学院江苏省非遗（苏州玉雕）传承人、江苏省第七批产业教授的俞挺大师等。</w:t>
      </w:r>
      <w:r>
        <w:rPr>
          <w:rFonts w:ascii="仿宋" w:hAnsi="仿宋" w:eastAsia="仿宋"/>
          <w:sz w:val="28"/>
          <w:szCs w:val="28"/>
        </w:rPr>
        <w:t xml:space="preserve"> </w:t>
      </w:r>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二级学院结合其专业优势开展丰富多彩的学生活动：</w:t>
      </w:r>
      <w:r>
        <w:rPr>
          <w:rFonts w:ascii="仿宋" w:hAnsi="仿宋" w:eastAsia="仿宋"/>
          <w:sz w:val="28"/>
          <w:szCs w:val="28"/>
        </w:rPr>
        <w:t>医学与公共服务学院举行5.12国际护士节线上庆祝活动</w:t>
      </w:r>
      <w:r>
        <w:rPr>
          <w:rFonts w:hint="eastAsia" w:ascii="仿宋" w:hAnsi="仿宋" w:eastAsia="仿宋"/>
          <w:sz w:val="28"/>
          <w:szCs w:val="28"/>
        </w:rPr>
        <w:t>；</w:t>
      </w:r>
      <w:r>
        <w:rPr>
          <w:rFonts w:ascii="仿宋" w:hAnsi="仿宋" w:eastAsia="仿宋"/>
          <w:sz w:val="28"/>
          <w:szCs w:val="28"/>
        </w:rPr>
        <w:t>信息与软件学院举行“我的中国梦”主题短视频创作大赛颁奖典礼</w:t>
      </w:r>
      <w:r>
        <w:rPr>
          <w:rFonts w:hint="eastAsia" w:ascii="仿宋" w:hAnsi="仿宋" w:eastAsia="仿宋"/>
          <w:sz w:val="28"/>
          <w:szCs w:val="28"/>
        </w:rPr>
        <w:t>；</w:t>
      </w:r>
      <w:r>
        <w:rPr>
          <w:rFonts w:ascii="仿宋" w:hAnsi="仿宋" w:eastAsia="仿宋"/>
          <w:sz w:val="28"/>
          <w:szCs w:val="28"/>
        </w:rPr>
        <w:t>艺术与建筑学院成功举办纽约纽约NY-XP工学结合项目交接仪式</w:t>
      </w:r>
      <w:r>
        <w:rPr>
          <w:rFonts w:hint="eastAsia" w:ascii="仿宋" w:hAnsi="仿宋" w:eastAsia="仿宋"/>
          <w:sz w:val="28"/>
          <w:szCs w:val="28"/>
        </w:rPr>
        <w:t>；</w:t>
      </w:r>
      <w:r>
        <w:rPr>
          <w:rFonts w:ascii="仿宋" w:hAnsi="仿宋" w:eastAsia="仿宋"/>
          <w:sz w:val="28"/>
          <w:szCs w:val="28"/>
        </w:rPr>
        <w:t>人文社科学院承办的“青春拼搏，勇挑重担”团学干部素质拓展活动</w:t>
      </w:r>
      <w:r>
        <w:rPr>
          <w:rFonts w:hint="eastAsia" w:ascii="仿宋" w:hAnsi="仿宋" w:eastAsia="仿宋"/>
          <w:sz w:val="28"/>
          <w:szCs w:val="28"/>
        </w:rPr>
        <w:t>等。各二级学院开展或合作开展的突出专业优势的各类活动逐步走向经常性和常态化，特定的学生社团活动及各类文化活动，成为该校学生健康成长的重要纽带和有效载体。</w:t>
      </w:r>
    </w:p>
    <w:p>
      <w:pPr>
        <w:adjustRightInd w:val="0"/>
        <w:snapToGrid w:val="0"/>
        <w:spacing w:line="360" w:lineRule="auto"/>
        <w:ind w:firstLine="560" w:firstLineChars="200"/>
        <w:rPr>
          <w:rFonts w:ascii="仿宋" w:hAnsi="仿宋" w:eastAsia="仿宋"/>
          <w:sz w:val="28"/>
          <w:szCs w:val="28"/>
        </w:rPr>
      </w:pPr>
    </w:p>
    <w:p>
      <w:pPr>
        <w:adjustRightInd w:val="0"/>
        <w:snapToGrid w:val="0"/>
        <w:spacing w:line="360" w:lineRule="auto"/>
        <w:ind w:firstLine="482" w:firstLineChars="200"/>
        <w:outlineLvl w:val="2"/>
        <w:rPr>
          <w:rFonts w:ascii="仿宋_GB2312" w:hAnsi="宋体" w:eastAsia="仿宋_GB2312"/>
          <w:b/>
          <w:color w:val="000000" w:themeColor="text1"/>
          <w:sz w:val="24"/>
          <w:szCs w:val="24"/>
        </w:rPr>
      </w:pPr>
      <w:bookmarkStart w:id="82" w:name="_Toc119932693"/>
      <w:bookmarkStart w:id="83" w:name="_Toc124087881"/>
      <w:r>
        <w:rPr>
          <w:rFonts w:hint="eastAsia" w:ascii="仿宋_GB2312" w:hAnsi="宋体" w:eastAsia="仿宋_GB2312"/>
          <w:b/>
          <w:color w:val="000000" w:themeColor="text1"/>
          <w:sz w:val="24"/>
          <w:szCs w:val="24"/>
        </w:rPr>
        <w:t>案例</w:t>
      </w:r>
      <w:r>
        <w:rPr>
          <w:rFonts w:ascii="仿宋_GB2312" w:hAnsi="宋体" w:eastAsia="仿宋_GB2312"/>
          <w:b/>
          <w:color w:val="000000" w:themeColor="text1"/>
          <w:sz w:val="24"/>
          <w:szCs w:val="24"/>
        </w:rPr>
        <w:t>3</w:t>
      </w:r>
      <w:r>
        <w:rPr>
          <w:rFonts w:hint="eastAsia" w:ascii="仿宋_GB2312" w:hAnsi="宋体" w:eastAsia="仿宋_GB2312"/>
          <w:b/>
          <w:color w:val="000000" w:themeColor="text1"/>
          <w:sz w:val="24"/>
          <w:szCs w:val="24"/>
        </w:rPr>
        <w:t>：</w:t>
      </w:r>
      <w:bookmarkStart w:id="84" w:name="_Hlk118983518"/>
      <w:r>
        <w:rPr>
          <w:rFonts w:hint="eastAsia" w:ascii="仿宋_GB2312" w:hAnsi="宋体" w:eastAsia="仿宋_GB2312"/>
          <w:b/>
          <w:color w:val="000000" w:themeColor="text1"/>
          <w:sz w:val="24"/>
          <w:szCs w:val="24"/>
        </w:rPr>
        <w:t>【在社会实践中绽放青春绚丽风采】</w:t>
      </w:r>
      <w:bookmarkEnd w:id="82"/>
      <w:bookmarkEnd w:id="83"/>
      <w:bookmarkEnd w:id="84"/>
    </w:p>
    <w:p>
      <w:pPr>
        <w:widowControl/>
        <w:spacing w:line="360" w:lineRule="auto"/>
        <w:ind w:firstLine="480" w:firstLineChars="200"/>
        <w:rPr>
          <w:rFonts w:ascii="楷体_GB2312" w:hAnsi="宋体" w:eastAsia="楷体_GB2312" w:cs="Times New Roman"/>
          <w:color w:val="000000" w:themeColor="text1"/>
          <w:kern w:val="0"/>
          <w:sz w:val="24"/>
          <w:szCs w:val="24"/>
        </w:rPr>
      </w:pPr>
      <w:r>
        <w:rPr>
          <w:rFonts w:hint="eastAsia" w:ascii="楷体_GB2312" w:hAnsi="宋体" w:eastAsia="楷体_GB2312" w:cs="Times New Roman"/>
          <w:color w:val="000000" w:themeColor="text1"/>
          <w:kern w:val="0"/>
          <w:sz w:val="24"/>
          <w:szCs w:val="24"/>
        </w:rPr>
        <w:t>青春因磨砺而出彩，人生因奋斗而升华。为引导和帮助广大青年学生上好与现实相结合的“大思政课”，在社会课堂中受教育、长才干、作贡献，坚定信念听党话、跟党走，以实际行动迎接党的二十大胜利召开。该校以“奋进新征程、青春勇担当”为主题，通过线上线下多种途径号召全校团员青年积极参加社会暑期实践活动，鼓励青年学子在新时代新征程中留下青春奋斗的鲜明印记。校团委在做好常态化疫情防控和安全工作预案的基础上，共建立了</w:t>
      </w:r>
      <w:r>
        <w:rPr>
          <w:rFonts w:ascii="楷体_GB2312" w:hAnsi="宋体" w:eastAsia="楷体_GB2312" w:cs="Times New Roman"/>
          <w:color w:val="000000" w:themeColor="text1"/>
          <w:kern w:val="0"/>
          <w:sz w:val="24"/>
          <w:szCs w:val="24"/>
        </w:rPr>
        <w:t>1支省级重点团队和4支校级团队，参与团队实践人数325人、参与个人实践3600人。逐梦青春党</w:t>
      </w:r>
      <w:r>
        <w:rPr>
          <w:rFonts w:hint="eastAsia" w:ascii="楷体_GB2312" w:hAnsi="宋体" w:eastAsia="楷体_GB2312" w:cs="Times New Roman"/>
          <w:color w:val="000000" w:themeColor="text1"/>
          <w:kern w:val="0"/>
          <w:sz w:val="24"/>
          <w:szCs w:val="24"/>
        </w:rPr>
        <w:t>史学习教育团通过“云端访问”和“实地走访”相结合，开展寻访优秀党员、宣讲红色故事、参观红色教育基地等实践活动，感悟红色文化，接受红色教育，汲取奋进力量；逐梦青春实践团由护理专业学生组成，团队成员互帮互助，前往苏州各医院及疗养院进行专业技能实践。信“芯”领航实践团队结合自身信息软件技术专业的特色，前往科技产业园进行岗位见习，深入到企业一线，在实践锻炼中增长才干（见图</w:t>
      </w:r>
      <w:r>
        <w:rPr>
          <w:rFonts w:ascii="楷体_GB2312" w:hAnsi="宋体" w:eastAsia="楷体_GB2312" w:cs="Times New Roman"/>
          <w:color w:val="000000" w:themeColor="text1"/>
          <w:kern w:val="0"/>
          <w:sz w:val="24"/>
          <w:szCs w:val="24"/>
        </w:rPr>
        <w:t>1.10</w:t>
      </w:r>
      <w:r>
        <w:rPr>
          <w:rFonts w:hint="eastAsia" w:ascii="楷体_GB2312" w:hAnsi="宋体" w:eastAsia="楷体_GB2312" w:cs="Times New Roman"/>
          <w:color w:val="000000" w:themeColor="text1"/>
          <w:kern w:val="0"/>
          <w:sz w:val="24"/>
          <w:szCs w:val="24"/>
        </w:rPr>
        <w:t>）。暑期实践活动开展过程中，该校学子将青春“小我”融入强国“大我”，深入基层、深入社会，在社会课堂中明是非、长见识、增本领，在新时代催人向前的号角声中开启“青春心向党、建功新时代”社会实践新征程。</w:t>
      </w:r>
    </w:p>
    <w:p>
      <w:pPr>
        <w:ind w:firstLine="420" w:firstLineChars="200"/>
        <w:jc w:val="center"/>
      </w:pPr>
      <w:r>
        <w:drawing>
          <wp:anchor distT="0" distB="0" distL="114300" distR="114300" simplePos="0" relativeHeight="251664384" behindDoc="0" locked="0" layoutInCell="1" allowOverlap="1">
            <wp:simplePos x="0" y="0"/>
            <wp:positionH relativeFrom="margin">
              <wp:posOffset>3026410</wp:posOffset>
            </wp:positionH>
            <wp:positionV relativeFrom="paragraph">
              <wp:posOffset>40640</wp:posOffset>
            </wp:positionV>
            <wp:extent cx="2247265" cy="1685290"/>
            <wp:effectExtent l="0" t="0" r="635" b="0"/>
            <wp:wrapSquare wrapText="bothSides"/>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2247265" cy="1685290"/>
                    </a:xfrm>
                    <a:prstGeom prst="rect">
                      <a:avLst/>
                    </a:prstGeom>
                    <a:noFill/>
                    <a:ln>
                      <a:noFill/>
                    </a:ln>
                  </pic:spPr>
                </pic:pic>
              </a:graphicData>
            </a:graphic>
          </wp:anchor>
        </w:drawing>
      </w:r>
      <w:r>
        <w:drawing>
          <wp:inline distT="0" distB="0" distL="0" distR="0">
            <wp:extent cx="2238375" cy="167894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267647" cy="1701144"/>
                    </a:xfrm>
                    <a:prstGeom prst="rect">
                      <a:avLst/>
                    </a:prstGeom>
                    <a:noFill/>
                    <a:ln>
                      <a:noFill/>
                    </a:ln>
                  </pic:spPr>
                </pic:pic>
              </a:graphicData>
            </a:graphic>
          </wp:inline>
        </w:drawing>
      </w:r>
    </w:p>
    <w:p>
      <w:pPr>
        <w:widowControl/>
        <w:spacing w:after="156" w:afterLines="50" w:line="360" w:lineRule="auto"/>
        <w:jc w:val="center"/>
        <w:rPr>
          <w:rFonts w:ascii="仿宋_GB2312" w:eastAsia="仿宋_GB2312"/>
          <w:b/>
          <w:sz w:val="24"/>
          <w:szCs w:val="24"/>
        </w:rPr>
      </w:pPr>
      <w:bookmarkStart w:id="85" w:name="_Toc124168966"/>
      <w:bookmarkStart w:id="86" w:name="_Toc124168545"/>
      <w:bookmarkStart w:id="87" w:name="_Toc124169688"/>
      <w:bookmarkStart w:id="88" w:name="_Hlk121990403"/>
      <w:r>
        <w:rPr>
          <w:rFonts w:hint="eastAsia" w:ascii="仿宋_GB2312" w:eastAsia="仿宋_GB2312"/>
          <w:b/>
          <w:sz w:val="24"/>
          <w:szCs w:val="24"/>
        </w:rPr>
        <w:t xml:space="preserve">图1. </w:t>
      </w:r>
      <w:r>
        <w:rPr>
          <w:rFonts w:ascii="仿宋_GB2312" w:eastAsia="仿宋_GB2312"/>
          <w:b/>
          <w:sz w:val="24"/>
          <w:szCs w:val="24"/>
        </w:rPr>
        <w:fldChar w:fldCharType="begin"/>
      </w:r>
      <w:r>
        <w:rPr>
          <w:rFonts w:ascii="仿宋_GB2312" w:eastAsia="仿宋_GB2312"/>
          <w:b/>
          <w:sz w:val="24"/>
          <w:szCs w:val="24"/>
        </w:rPr>
        <w:instrText xml:space="preserve"> </w:instrText>
      </w:r>
      <w:r>
        <w:rPr>
          <w:rFonts w:hint="eastAsia" w:ascii="仿宋_GB2312" w:eastAsia="仿宋_GB2312"/>
          <w:b/>
          <w:sz w:val="24"/>
          <w:szCs w:val="24"/>
        </w:rPr>
        <w:instrText xml:space="preserve">SEQ 图1. \* ARABIC</w:instrText>
      </w:r>
      <w:r>
        <w:rPr>
          <w:rFonts w:ascii="仿宋_GB2312" w:eastAsia="仿宋_GB2312"/>
          <w:b/>
          <w:sz w:val="24"/>
          <w:szCs w:val="24"/>
        </w:rPr>
        <w:instrText xml:space="preserve"> </w:instrText>
      </w:r>
      <w:r>
        <w:rPr>
          <w:rFonts w:ascii="仿宋_GB2312" w:eastAsia="仿宋_GB2312"/>
          <w:b/>
          <w:sz w:val="24"/>
          <w:szCs w:val="24"/>
        </w:rPr>
        <w:fldChar w:fldCharType="separate"/>
      </w:r>
      <w:r>
        <w:rPr>
          <w:rFonts w:ascii="仿宋_GB2312" w:eastAsia="仿宋_GB2312"/>
          <w:b/>
          <w:sz w:val="24"/>
          <w:szCs w:val="24"/>
        </w:rPr>
        <w:t>10</w:t>
      </w:r>
      <w:r>
        <w:rPr>
          <w:rFonts w:ascii="仿宋_GB2312" w:eastAsia="仿宋_GB2312"/>
          <w:b/>
          <w:sz w:val="24"/>
          <w:szCs w:val="24"/>
        </w:rPr>
        <w:fldChar w:fldCharType="end"/>
      </w:r>
      <w:r>
        <w:rPr>
          <w:rFonts w:hint="eastAsia" w:ascii="仿宋_GB2312" w:eastAsia="仿宋_GB2312"/>
          <w:b/>
          <w:sz w:val="24"/>
          <w:szCs w:val="24"/>
        </w:rPr>
        <w:t>筑梦青春党史学习教育团红色教育基地参观</w:t>
      </w:r>
      <w:bookmarkEnd w:id="85"/>
      <w:bookmarkEnd w:id="86"/>
      <w:bookmarkEnd w:id="87"/>
    </w:p>
    <w:bookmarkEnd w:id="88"/>
    <w:p>
      <w:pPr>
        <w:pStyle w:val="3"/>
        <w:spacing w:before="0" w:after="0" w:line="360" w:lineRule="auto"/>
        <w:ind w:firstLine="562" w:firstLineChars="200"/>
        <w:rPr>
          <w:rFonts w:ascii="仿宋_GB2312" w:eastAsia="仿宋_GB2312" w:hAnsiTheme="minorEastAsia"/>
          <w:sz w:val="28"/>
          <w:szCs w:val="28"/>
        </w:rPr>
      </w:pPr>
      <w:bookmarkStart w:id="89" w:name="_Toc124087882"/>
      <w:bookmarkStart w:id="90" w:name="_Toc533519401"/>
      <w:bookmarkStart w:id="91" w:name="_Toc500492286"/>
      <w:r>
        <w:rPr>
          <w:rFonts w:hint="eastAsia" w:ascii="仿宋_GB2312" w:eastAsia="仿宋_GB2312" w:hAnsiTheme="minorEastAsia"/>
          <w:sz w:val="28"/>
          <w:szCs w:val="28"/>
        </w:rPr>
        <w:t>1</w:t>
      </w:r>
      <w:r>
        <w:rPr>
          <w:rFonts w:ascii="仿宋_GB2312" w:eastAsia="仿宋_GB2312" w:hAnsiTheme="minorEastAsia"/>
          <w:sz w:val="28"/>
          <w:szCs w:val="28"/>
        </w:rPr>
        <w:t>.6</w:t>
      </w:r>
      <w:r>
        <w:rPr>
          <w:rFonts w:hint="eastAsia" w:ascii="仿宋_GB2312" w:eastAsia="仿宋_GB2312" w:hAnsiTheme="minorEastAsia"/>
          <w:sz w:val="28"/>
          <w:szCs w:val="28"/>
        </w:rPr>
        <w:t>创新创业</w:t>
      </w:r>
      <w:bookmarkEnd w:id="89"/>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该校高度重视在校学生的创新创业能力培养，学生积极投身于创新创业教育与训练活动之中，本学年</w:t>
      </w:r>
      <w:r>
        <w:rPr>
          <w:rFonts w:ascii="仿宋" w:hAnsi="仿宋" w:eastAsia="仿宋"/>
          <w:sz w:val="28"/>
          <w:szCs w:val="28"/>
        </w:rPr>
        <w:t>江苏省大学生创新创业训练计划项目发布，该校徐凡同学负责的《基于51单片机温湿度实时监测系统设计》等25个团队共74位同学参加的25个项目上榜。</w:t>
      </w:r>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学校坚持采用《就业指导与创业教育》公共基础课、创业教育实务公共选修课、SYB创业模拟培训和外聘企业家和成功创业者的专题讲座等，从创业理念强化、创业理论学习、创业实务演练、创业经验交流和创业活动指导各个环节开展全程创业教育</w:t>
      </w:r>
      <w:bookmarkEnd w:id="90"/>
      <w:bookmarkEnd w:id="91"/>
      <w:r>
        <w:rPr>
          <w:rFonts w:hint="eastAsia" w:ascii="仿宋" w:hAnsi="仿宋" w:eastAsia="仿宋"/>
          <w:sz w:val="28"/>
          <w:szCs w:val="28"/>
        </w:rPr>
        <w:t>，成效明显。</w:t>
      </w:r>
      <w:r>
        <w:rPr>
          <w:rFonts w:ascii="仿宋" w:hAnsi="仿宋" w:eastAsia="仿宋"/>
          <w:sz w:val="28"/>
          <w:szCs w:val="28"/>
        </w:rPr>
        <w:t>在第七届江苏省“互联网+”大学生创新创业大赛中，该校人文社科学院2020级广西籍学生张嘉怡、刘舒婷、黄霞、邓政娜等同学申报的创业项目“金扁担挑来金娃娃”荣获“青年红色筑梦之旅”赛道三等奖</w:t>
      </w:r>
      <w:r>
        <w:rPr>
          <w:rFonts w:hint="eastAsia" w:ascii="仿宋" w:hAnsi="仿宋" w:eastAsia="仿宋"/>
          <w:sz w:val="28"/>
          <w:szCs w:val="28"/>
        </w:rPr>
        <w:t>；在</w:t>
      </w:r>
      <w:r>
        <w:rPr>
          <w:rFonts w:ascii="仿宋" w:hAnsi="仿宋" w:eastAsia="仿宋"/>
          <w:sz w:val="28"/>
          <w:szCs w:val="28"/>
        </w:rPr>
        <w:t>2022年“中国银行杯”江苏省职业院校双创大赛该校荣获佳绩</w:t>
      </w:r>
      <w:r>
        <w:rPr>
          <w:rFonts w:hint="eastAsia" w:ascii="仿宋" w:hAnsi="仿宋" w:eastAsia="仿宋"/>
          <w:sz w:val="28"/>
          <w:szCs w:val="28"/>
        </w:rPr>
        <w:t>，</w:t>
      </w:r>
      <w:r>
        <w:rPr>
          <w:rFonts w:ascii="仿宋" w:hAnsi="仿宋" w:eastAsia="仿宋"/>
          <w:sz w:val="28"/>
          <w:szCs w:val="28"/>
        </w:rPr>
        <w:t>该校机电工程学院由杨静、韩丽东教师指导的学生陆军浩、赵海涛和吕鑫申报的“计算机视觉智慧闸机”项目荣获创意组高职组三等奖。</w:t>
      </w:r>
    </w:p>
    <w:p>
      <w:pPr>
        <w:adjustRightInd w:val="0"/>
        <w:snapToGrid w:val="0"/>
        <w:spacing w:line="360" w:lineRule="auto"/>
        <w:ind w:firstLine="560" w:firstLineChars="200"/>
        <w:rPr>
          <w:rFonts w:ascii="仿宋" w:hAnsi="仿宋" w:eastAsia="仿宋"/>
          <w:sz w:val="28"/>
          <w:szCs w:val="28"/>
        </w:rPr>
      </w:pPr>
    </w:p>
    <w:p>
      <w:pPr>
        <w:pStyle w:val="2"/>
        <w:spacing w:before="0" w:after="0" w:line="360" w:lineRule="auto"/>
        <w:ind w:firstLine="643" w:firstLineChars="200"/>
        <w:rPr>
          <w:rFonts w:ascii="黑体" w:hAnsi="黑体" w:eastAsia="黑体"/>
          <w:sz w:val="32"/>
          <w:szCs w:val="32"/>
        </w:rPr>
      </w:pPr>
      <w:r>
        <w:rPr>
          <w:rFonts w:ascii="黑体" w:hAnsi="黑体" w:eastAsia="黑体"/>
          <w:sz w:val="32"/>
          <w:szCs w:val="32"/>
        </w:rPr>
        <w:tab/>
      </w:r>
      <w:bookmarkStart w:id="92" w:name="_Toc124087883"/>
      <w:bookmarkStart w:id="93" w:name="_Toc533519403"/>
      <w:r>
        <w:rPr>
          <w:rFonts w:hint="eastAsia" w:ascii="黑体" w:hAnsi="黑体" w:eastAsia="黑体"/>
          <w:sz w:val="32"/>
          <w:szCs w:val="32"/>
        </w:rPr>
        <w:t>2.教育教学</w:t>
      </w:r>
      <w:bookmarkEnd w:id="74"/>
      <w:bookmarkEnd w:id="75"/>
      <w:bookmarkEnd w:id="92"/>
      <w:bookmarkEnd w:id="93"/>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202</w:t>
      </w:r>
      <w:r>
        <w:rPr>
          <w:rFonts w:ascii="仿宋" w:hAnsi="仿宋" w:eastAsia="仿宋"/>
          <w:sz w:val="28"/>
          <w:szCs w:val="28"/>
        </w:rPr>
        <w:t>2</w:t>
      </w:r>
      <w:r>
        <w:rPr>
          <w:rFonts w:hint="eastAsia" w:ascii="仿宋" w:hAnsi="仿宋" w:eastAsia="仿宋"/>
          <w:sz w:val="28"/>
          <w:szCs w:val="28"/>
        </w:rPr>
        <w:t>学年该校师资队伍建设强力推进，信息技术稳步提升，教学资源快速增长。当前该校生师比1：</w:t>
      </w:r>
      <w:r>
        <w:rPr>
          <w:rFonts w:ascii="仿宋" w:hAnsi="仿宋" w:eastAsia="仿宋"/>
          <w:sz w:val="28"/>
          <w:szCs w:val="28"/>
        </w:rPr>
        <w:t>13.88</w:t>
      </w:r>
      <w:r>
        <w:rPr>
          <w:rFonts w:hint="eastAsia" w:ascii="仿宋" w:hAnsi="仿宋" w:eastAsia="仿宋"/>
          <w:sz w:val="28"/>
          <w:szCs w:val="28"/>
        </w:rPr>
        <w:t>；双师素质专任教师比例</w:t>
      </w:r>
      <w:r>
        <w:rPr>
          <w:rFonts w:ascii="仿宋" w:hAnsi="仿宋" w:eastAsia="仿宋"/>
          <w:sz w:val="28"/>
          <w:szCs w:val="28"/>
        </w:rPr>
        <w:t xml:space="preserve">53.77 </w:t>
      </w:r>
      <w:bookmarkStart w:id="94" w:name="_Hlk121827358"/>
      <w:r>
        <w:rPr>
          <w:rFonts w:ascii="仿宋" w:hAnsi="仿宋" w:eastAsia="仿宋"/>
          <w:sz w:val="28"/>
          <w:szCs w:val="28"/>
        </w:rPr>
        <w:t>%</w:t>
      </w:r>
      <w:bookmarkEnd w:id="94"/>
      <w:r>
        <w:rPr>
          <w:rFonts w:hint="eastAsia" w:ascii="仿宋" w:hAnsi="仿宋" w:eastAsia="仿宋"/>
          <w:sz w:val="28"/>
          <w:szCs w:val="28"/>
        </w:rPr>
        <w:t>；具有研究生学位教师占专任教师的比例</w:t>
      </w:r>
      <w:r>
        <w:rPr>
          <w:rFonts w:ascii="仿宋" w:hAnsi="仿宋" w:eastAsia="仿宋"/>
          <w:sz w:val="28"/>
          <w:szCs w:val="28"/>
        </w:rPr>
        <w:t>58.79</w:t>
      </w:r>
      <w:r>
        <w:rPr>
          <w:rFonts w:hint="eastAsia" w:ascii="仿宋" w:hAnsi="仿宋" w:eastAsia="仿宋"/>
          <w:sz w:val="28"/>
          <w:szCs w:val="28"/>
        </w:rPr>
        <w:t>%；高级专业技术职务占专任教师比例</w:t>
      </w:r>
      <w:r>
        <w:rPr>
          <w:rFonts w:ascii="仿宋" w:hAnsi="仿宋" w:eastAsia="仿宋"/>
          <w:sz w:val="28"/>
          <w:szCs w:val="28"/>
        </w:rPr>
        <w:t>22.80%</w:t>
      </w:r>
      <w:r>
        <w:rPr>
          <w:rFonts w:hint="eastAsia" w:ascii="仿宋" w:hAnsi="仿宋" w:eastAsia="仿宋"/>
          <w:sz w:val="28"/>
          <w:szCs w:val="28"/>
        </w:rPr>
        <w:t>。生均校内实践教学工位数0</w:t>
      </w:r>
      <w:r>
        <w:rPr>
          <w:rFonts w:ascii="仿宋" w:hAnsi="仿宋" w:eastAsia="仿宋"/>
          <w:sz w:val="28"/>
          <w:szCs w:val="28"/>
        </w:rPr>
        <w:t>.79</w:t>
      </w:r>
      <w:r>
        <w:rPr>
          <w:rFonts w:hint="eastAsia" w:ascii="仿宋" w:hAnsi="仿宋" w:eastAsia="仿宋"/>
          <w:sz w:val="28"/>
          <w:szCs w:val="28"/>
        </w:rPr>
        <w:t>（个/生）；生均教学科研仪器设备值</w:t>
      </w:r>
      <w:bookmarkStart w:id="95" w:name="_Hlk121827627"/>
      <w:r>
        <w:rPr>
          <w:rFonts w:hint="eastAsia" w:ascii="仿宋" w:hAnsi="仿宋" w:eastAsia="仿宋"/>
          <w:sz w:val="28"/>
          <w:szCs w:val="28"/>
        </w:rPr>
        <w:t>7</w:t>
      </w:r>
      <w:r>
        <w:rPr>
          <w:rFonts w:ascii="仿宋" w:hAnsi="仿宋" w:eastAsia="仿宋"/>
          <w:sz w:val="28"/>
          <w:szCs w:val="28"/>
        </w:rPr>
        <w:t>570</w:t>
      </w:r>
      <w:bookmarkStart w:id="96" w:name="_Hlk121835028"/>
      <w:r>
        <w:rPr>
          <w:rFonts w:ascii="仿宋" w:hAnsi="仿宋" w:eastAsia="仿宋"/>
          <w:sz w:val="28"/>
          <w:szCs w:val="28"/>
        </w:rPr>
        <w:t>.</w:t>
      </w:r>
      <w:bookmarkEnd w:id="96"/>
      <w:r>
        <w:rPr>
          <w:rFonts w:ascii="仿宋" w:hAnsi="仿宋" w:eastAsia="仿宋"/>
          <w:sz w:val="28"/>
          <w:szCs w:val="28"/>
        </w:rPr>
        <w:t>29</w:t>
      </w:r>
      <w:r>
        <w:rPr>
          <w:rFonts w:hint="eastAsia" w:ascii="仿宋" w:hAnsi="仿宋" w:eastAsia="仿宋"/>
          <w:sz w:val="28"/>
          <w:szCs w:val="28"/>
        </w:rPr>
        <w:t>（元/生）</w:t>
      </w:r>
      <w:bookmarkEnd w:id="95"/>
      <w:r>
        <w:rPr>
          <w:rFonts w:hint="eastAsia" w:ascii="仿宋" w:hAnsi="仿宋" w:eastAsia="仿宋"/>
          <w:sz w:val="28"/>
          <w:szCs w:val="28"/>
        </w:rPr>
        <w:t>、生均教学行政用房5</w:t>
      </w:r>
      <w:r>
        <w:rPr>
          <w:rFonts w:ascii="仿宋" w:hAnsi="仿宋" w:eastAsia="仿宋"/>
          <w:sz w:val="28"/>
          <w:szCs w:val="28"/>
        </w:rPr>
        <w:t>1.37</w:t>
      </w:r>
      <w:r>
        <w:rPr>
          <w:rFonts w:hint="eastAsia" w:ascii="仿宋" w:hAnsi="仿宋" w:eastAsia="仿宋"/>
          <w:sz w:val="28"/>
          <w:szCs w:val="28"/>
        </w:rPr>
        <w:t>（平方米/生）、生均图书9</w:t>
      </w:r>
      <w:r>
        <w:rPr>
          <w:rFonts w:ascii="仿宋" w:hAnsi="仿宋" w:eastAsia="仿宋"/>
          <w:sz w:val="28"/>
          <w:szCs w:val="28"/>
        </w:rPr>
        <w:t>9.69</w:t>
      </w:r>
      <w:r>
        <w:rPr>
          <w:rFonts w:hint="eastAsia" w:ascii="仿宋" w:hAnsi="仿宋" w:eastAsia="仿宋"/>
          <w:sz w:val="28"/>
          <w:szCs w:val="28"/>
        </w:rPr>
        <w:t>（册/生）等办学重要指标相对稳定（见表2.3），符合国家基本办学条件指标要求。专业建设、课程建设及特色建设等关键项目成果明显，特别是在抗击新冠疫情背景下的教学工作，经受了考验，推进了现代信息技术在教学上的进一步广泛应用，也推动了该校的教学及教学管理工作的改进与发展。</w:t>
      </w:r>
    </w:p>
    <w:p>
      <w:pPr>
        <w:pStyle w:val="3"/>
        <w:spacing w:before="0" w:after="0" w:line="360" w:lineRule="auto"/>
        <w:ind w:firstLine="562" w:firstLineChars="200"/>
        <w:rPr>
          <w:rFonts w:ascii="仿宋_GB2312" w:eastAsia="仿宋_GB2312" w:hAnsiTheme="minorEastAsia"/>
          <w:sz w:val="28"/>
          <w:szCs w:val="28"/>
        </w:rPr>
      </w:pPr>
      <w:bookmarkStart w:id="97" w:name="_Toc124087884"/>
      <w:bookmarkStart w:id="98" w:name="_Toc533519404"/>
      <w:bookmarkStart w:id="99" w:name="_Toc500492290"/>
      <w:bookmarkStart w:id="100" w:name="_Toc532826551"/>
      <w:r>
        <w:rPr>
          <w:rFonts w:hint="eastAsia" w:ascii="仿宋_GB2312" w:eastAsia="仿宋_GB2312" w:hAnsiTheme="minorEastAsia"/>
          <w:sz w:val="28"/>
          <w:szCs w:val="28"/>
        </w:rPr>
        <w:t>2</w:t>
      </w:r>
      <w:r>
        <w:rPr>
          <w:rFonts w:ascii="仿宋_GB2312" w:eastAsia="仿宋_GB2312" w:hAnsiTheme="minorEastAsia"/>
          <w:sz w:val="28"/>
          <w:szCs w:val="28"/>
        </w:rPr>
        <w:t>.1</w:t>
      </w:r>
      <w:r>
        <w:rPr>
          <w:rFonts w:hint="eastAsia" w:ascii="仿宋_GB2312" w:eastAsia="仿宋_GB2312" w:hAnsiTheme="minorEastAsia"/>
          <w:sz w:val="28"/>
          <w:szCs w:val="28"/>
        </w:rPr>
        <w:t>师资队伍</w:t>
      </w:r>
      <w:bookmarkEnd w:id="97"/>
      <w:bookmarkEnd w:id="98"/>
      <w:bookmarkEnd w:id="99"/>
      <w:bookmarkEnd w:id="100"/>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本学年，招聘、引进结合培养，该校师资结构继续优化。目前，在岗专任教师</w:t>
      </w:r>
      <w:r>
        <w:rPr>
          <w:rFonts w:ascii="仿宋" w:hAnsi="仿宋" w:eastAsia="仿宋"/>
          <w:sz w:val="28"/>
          <w:szCs w:val="28"/>
        </w:rPr>
        <w:t>478</w:t>
      </w:r>
      <w:r>
        <w:rPr>
          <w:rFonts w:hint="eastAsia" w:ascii="仿宋" w:hAnsi="仿宋" w:eastAsia="仿宋"/>
          <w:sz w:val="28"/>
          <w:szCs w:val="28"/>
        </w:rPr>
        <w:t>人，其中高级职称人数1</w:t>
      </w:r>
      <w:r>
        <w:rPr>
          <w:rFonts w:ascii="仿宋" w:hAnsi="仿宋" w:eastAsia="仿宋"/>
          <w:sz w:val="28"/>
          <w:szCs w:val="28"/>
        </w:rPr>
        <w:t>09</w:t>
      </w:r>
      <w:r>
        <w:rPr>
          <w:rFonts w:hint="eastAsia" w:ascii="仿宋" w:hAnsi="仿宋" w:eastAsia="仿宋"/>
          <w:sz w:val="28"/>
          <w:szCs w:val="28"/>
        </w:rPr>
        <w:t>人，</w:t>
      </w:r>
      <w:bookmarkStart w:id="101" w:name="_Hlk121834329"/>
      <w:r>
        <w:rPr>
          <w:rFonts w:hint="eastAsia" w:ascii="仿宋" w:hAnsi="仿宋" w:eastAsia="仿宋"/>
          <w:sz w:val="28"/>
          <w:szCs w:val="28"/>
        </w:rPr>
        <w:t>占比</w:t>
      </w:r>
      <w:r>
        <w:rPr>
          <w:rFonts w:ascii="仿宋" w:hAnsi="仿宋" w:eastAsia="仿宋"/>
          <w:sz w:val="28"/>
          <w:szCs w:val="28"/>
        </w:rPr>
        <w:t>22.80%</w:t>
      </w:r>
      <w:bookmarkEnd w:id="101"/>
      <w:r>
        <w:rPr>
          <w:rFonts w:hint="eastAsia" w:ascii="仿宋" w:hAnsi="仿宋" w:eastAsia="仿宋"/>
          <w:sz w:val="28"/>
          <w:szCs w:val="28"/>
        </w:rPr>
        <w:t>；双师素质人数2</w:t>
      </w:r>
      <w:r>
        <w:rPr>
          <w:rFonts w:ascii="仿宋" w:hAnsi="仿宋" w:eastAsia="仿宋"/>
          <w:sz w:val="28"/>
          <w:szCs w:val="28"/>
        </w:rPr>
        <w:t>57</w:t>
      </w:r>
      <w:r>
        <w:rPr>
          <w:rFonts w:hint="eastAsia" w:ascii="仿宋" w:hAnsi="仿宋" w:eastAsia="仿宋"/>
          <w:sz w:val="28"/>
          <w:szCs w:val="28"/>
        </w:rPr>
        <w:t>人，占比5</w:t>
      </w:r>
      <w:r>
        <w:rPr>
          <w:rFonts w:ascii="仿宋" w:hAnsi="仿宋" w:eastAsia="仿宋"/>
          <w:sz w:val="28"/>
          <w:szCs w:val="28"/>
        </w:rPr>
        <w:t>3.77%</w:t>
      </w:r>
      <w:r>
        <w:rPr>
          <w:rFonts w:hint="eastAsia" w:ascii="仿宋" w:hAnsi="仿宋" w:eastAsia="仿宋"/>
          <w:sz w:val="28"/>
          <w:szCs w:val="28"/>
        </w:rPr>
        <w:t>；校外教师1</w:t>
      </w:r>
      <w:r>
        <w:rPr>
          <w:rFonts w:ascii="仿宋" w:hAnsi="仿宋" w:eastAsia="仿宋"/>
          <w:sz w:val="28"/>
          <w:szCs w:val="28"/>
        </w:rPr>
        <w:t>35</w:t>
      </w:r>
      <w:r>
        <w:rPr>
          <w:rFonts w:hint="eastAsia" w:ascii="仿宋" w:hAnsi="仿宋" w:eastAsia="仿宋"/>
          <w:sz w:val="28"/>
          <w:szCs w:val="28"/>
        </w:rPr>
        <w:t>人，</w:t>
      </w:r>
      <w:bookmarkStart w:id="102" w:name="_Hlk121834360"/>
      <w:r>
        <w:rPr>
          <w:rFonts w:hint="eastAsia" w:ascii="仿宋" w:hAnsi="仿宋" w:eastAsia="仿宋"/>
          <w:sz w:val="28"/>
          <w:szCs w:val="28"/>
        </w:rPr>
        <w:t>占比2</w:t>
      </w:r>
      <w:r>
        <w:rPr>
          <w:rFonts w:ascii="仿宋" w:hAnsi="仿宋" w:eastAsia="仿宋"/>
          <w:sz w:val="28"/>
          <w:szCs w:val="28"/>
        </w:rPr>
        <w:t>8.24%</w:t>
      </w:r>
      <w:bookmarkEnd w:id="102"/>
      <w:r>
        <w:rPr>
          <w:rFonts w:hint="eastAsia" w:ascii="仿宋" w:hAnsi="仿宋" w:eastAsia="仿宋"/>
          <w:sz w:val="28"/>
          <w:szCs w:val="28"/>
        </w:rPr>
        <w:t>；硕士以上学位</w:t>
      </w:r>
      <w:bookmarkStart w:id="103" w:name="_Hlk121834141"/>
      <w:r>
        <w:rPr>
          <w:rFonts w:hint="eastAsia" w:ascii="仿宋" w:hAnsi="仿宋" w:eastAsia="仿宋"/>
          <w:sz w:val="28"/>
          <w:szCs w:val="28"/>
        </w:rPr>
        <w:t>人数</w:t>
      </w:r>
      <w:bookmarkEnd w:id="103"/>
      <w:r>
        <w:rPr>
          <w:rFonts w:hint="eastAsia" w:ascii="仿宋" w:hAnsi="仿宋" w:eastAsia="仿宋"/>
          <w:sz w:val="28"/>
          <w:szCs w:val="28"/>
        </w:rPr>
        <w:t>2</w:t>
      </w:r>
      <w:r>
        <w:rPr>
          <w:rFonts w:ascii="仿宋" w:hAnsi="仿宋" w:eastAsia="仿宋"/>
          <w:sz w:val="28"/>
          <w:szCs w:val="28"/>
        </w:rPr>
        <w:t>81</w:t>
      </w:r>
      <w:r>
        <w:rPr>
          <w:rFonts w:hint="eastAsia" w:ascii="仿宋" w:hAnsi="仿宋" w:eastAsia="仿宋"/>
          <w:sz w:val="28"/>
          <w:szCs w:val="28"/>
        </w:rPr>
        <w:t>人，占比</w:t>
      </w:r>
      <w:bookmarkStart w:id="104" w:name="_Hlk121835280"/>
      <w:r>
        <w:rPr>
          <w:rFonts w:ascii="仿宋" w:hAnsi="仿宋" w:eastAsia="仿宋"/>
          <w:sz w:val="28"/>
          <w:szCs w:val="28"/>
        </w:rPr>
        <w:t>58</w:t>
      </w:r>
      <w:bookmarkStart w:id="105" w:name="_Hlk121834783"/>
      <w:r>
        <w:rPr>
          <w:rFonts w:ascii="仿宋" w:hAnsi="仿宋" w:eastAsia="仿宋"/>
          <w:sz w:val="28"/>
          <w:szCs w:val="28"/>
        </w:rPr>
        <w:t>.</w:t>
      </w:r>
      <w:bookmarkEnd w:id="105"/>
      <w:r>
        <w:rPr>
          <w:rFonts w:ascii="仿宋" w:hAnsi="仿宋" w:eastAsia="仿宋"/>
          <w:sz w:val="28"/>
          <w:szCs w:val="28"/>
        </w:rPr>
        <w:t>79</w:t>
      </w:r>
      <w:bookmarkEnd w:id="104"/>
      <w:r>
        <w:rPr>
          <w:rFonts w:hint="eastAsia" w:ascii="仿宋" w:hAnsi="仿宋" w:eastAsia="仿宋"/>
          <w:sz w:val="28"/>
          <w:szCs w:val="28"/>
        </w:rPr>
        <w:t>%。师资素质良好，结构比较合理。自2015学校推出中青年(新入职)教师培养方案起，学校组织开展新入职教师暑期培训活动，结合学校二级学院的教学管理和学校一级督导、特聘教授的教学指导和骨干教师的结对指导，全方位促进中青年教师的教学能力提高。本学年新晋副教授5人。</w:t>
      </w:r>
      <w:r>
        <w:rPr>
          <w:rFonts w:ascii="仿宋" w:hAnsi="仿宋" w:eastAsia="仿宋"/>
          <w:sz w:val="28"/>
          <w:szCs w:val="28"/>
        </w:rPr>
        <w:t>目前</w:t>
      </w:r>
      <w:r>
        <w:rPr>
          <w:rFonts w:hint="eastAsia" w:ascii="仿宋" w:hAnsi="仿宋" w:eastAsia="仿宋"/>
          <w:sz w:val="28"/>
          <w:szCs w:val="28"/>
        </w:rPr>
        <w:t>该校</w:t>
      </w:r>
      <w:r>
        <w:rPr>
          <w:rFonts w:ascii="仿宋" w:hAnsi="仿宋" w:eastAsia="仿宋"/>
          <w:sz w:val="28"/>
          <w:szCs w:val="28"/>
        </w:rPr>
        <w:t>江苏</w:t>
      </w:r>
      <w:r>
        <w:rPr>
          <w:rFonts w:hint="eastAsia" w:ascii="仿宋" w:hAnsi="仿宋" w:eastAsia="仿宋"/>
          <w:sz w:val="28"/>
          <w:szCs w:val="28"/>
        </w:rPr>
        <w:t>高校</w:t>
      </w:r>
      <w:r>
        <w:rPr>
          <w:rFonts w:ascii="仿宋" w:hAnsi="仿宋" w:eastAsia="仿宋"/>
          <w:sz w:val="28"/>
          <w:szCs w:val="28"/>
        </w:rPr>
        <w:t>“青蓝工程”中青年学术带头人</w:t>
      </w:r>
      <w:r>
        <w:rPr>
          <w:rFonts w:hint="eastAsia" w:ascii="仿宋" w:hAnsi="仿宋" w:eastAsia="仿宋"/>
          <w:sz w:val="28"/>
          <w:szCs w:val="28"/>
        </w:rPr>
        <w:t>1人，</w:t>
      </w:r>
      <w:r>
        <w:rPr>
          <w:rFonts w:ascii="仿宋" w:hAnsi="仿宋" w:eastAsia="仿宋"/>
          <w:sz w:val="28"/>
          <w:szCs w:val="28"/>
        </w:rPr>
        <w:t>高校“青蓝工程”优秀青年骨干教师有7人，</w:t>
      </w:r>
      <w:r>
        <w:rPr>
          <w:rFonts w:hint="eastAsia" w:ascii="仿宋" w:hAnsi="仿宋" w:eastAsia="仿宋"/>
          <w:sz w:val="28"/>
          <w:szCs w:val="28"/>
        </w:rPr>
        <w:t>产业教授</w:t>
      </w:r>
      <w:r>
        <w:rPr>
          <w:rFonts w:ascii="仿宋" w:hAnsi="仿宋" w:eastAsia="仿宋"/>
          <w:sz w:val="28"/>
          <w:szCs w:val="28"/>
        </w:rPr>
        <w:t>4</w:t>
      </w:r>
      <w:r>
        <w:rPr>
          <w:rFonts w:hint="eastAsia" w:ascii="仿宋" w:hAnsi="仿宋" w:eastAsia="仿宋"/>
          <w:sz w:val="28"/>
          <w:szCs w:val="28"/>
        </w:rPr>
        <w:t>人，</w:t>
      </w:r>
      <w:r>
        <w:rPr>
          <w:rFonts w:ascii="仿宋" w:hAnsi="仿宋" w:eastAsia="仿宋"/>
          <w:sz w:val="28"/>
          <w:szCs w:val="28"/>
        </w:rPr>
        <w:t>苏州市姑苏高技能重点人才3人</w:t>
      </w:r>
      <w:r>
        <w:rPr>
          <w:rFonts w:hint="eastAsia" w:ascii="仿宋" w:hAnsi="仿宋" w:eastAsia="仿宋"/>
          <w:sz w:val="28"/>
          <w:szCs w:val="28"/>
        </w:rPr>
        <w:t>。院级专业带头人</w:t>
      </w:r>
      <w:r>
        <w:rPr>
          <w:rFonts w:ascii="仿宋" w:hAnsi="仿宋" w:eastAsia="仿宋"/>
          <w:sz w:val="28"/>
          <w:szCs w:val="28"/>
        </w:rPr>
        <w:t>38</w:t>
      </w:r>
      <w:r>
        <w:rPr>
          <w:rFonts w:hint="eastAsia" w:ascii="仿宋" w:hAnsi="仿宋" w:eastAsia="仿宋"/>
          <w:sz w:val="28"/>
          <w:szCs w:val="28"/>
        </w:rPr>
        <w:t>人，专业负责人</w:t>
      </w:r>
      <w:r>
        <w:rPr>
          <w:rFonts w:ascii="仿宋" w:hAnsi="仿宋" w:eastAsia="仿宋"/>
          <w:sz w:val="28"/>
          <w:szCs w:val="28"/>
        </w:rPr>
        <w:t>38</w:t>
      </w:r>
      <w:r>
        <w:rPr>
          <w:rFonts w:hint="eastAsia" w:ascii="仿宋" w:hAnsi="仿宋" w:eastAsia="仿宋"/>
          <w:sz w:val="28"/>
          <w:szCs w:val="28"/>
        </w:rPr>
        <w:t xml:space="preserve">人，建立并不断充实覆盖4个专业群及其全部专业的兼职教师库。 </w:t>
      </w:r>
    </w:p>
    <w:p>
      <w:pPr>
        <w:adjustRightInd w:val="0"/>
        <w:snapToGrid w:val="0"/>
        <w:spacing w:line="360" w:lineRule="auto"/>
        <w:ind w:firstLine="560" w:firstLineChars="200"/>
        <w:rPr>
          <w:rFonts w:ascii="仿宋" w:hAnsi="仿宋" w:eastAsia="仿宋"/>
          <w:sz w:val="28"/>
          <w:szCs w:val="28"/>
        </w:rPr>
      </w:pPr>
      <w:r>
        <w:rPr>
          <w:rFonts w:ascii="仿宋" w:hAnsi="仿宋" w:eastAsia="仿宋"/>
          <w:sz w:val="28"/>
          <w:szCs w:val="28"/>
        </w:rPr>
        <w:t>学校2018年6月启动校级“青山学者计划”人才培养项目，</w:t>
      </w:r>
      <w:r>
        <w:rPr>
          <w:rFonts w:hint="eastAsia" w:ascii="仿宋" w:hAnsi="仿宋" w:eastAsia="仿宋"/>
          <w:sz w:val="28"/>
          <w:szCs w:val="28"/>
        </w:rPr>
        <w:t>本学年韩丽东、孙猛、何仙慧、张凤4人入选，至今三</w:t>
      </w:r>
      <w:r>
        <w:rPr>
          <w:rFonts w:ascii="仿宋" w:hAnsi="仿宋" w:eastAsia="仿宋"/>
          <w:sz w:val="28"/>
          <w:szCs w:val="28"/>
        </w:rPr>
        <w:t>批共</w:t>
      </w:r>
      <w:r>
        <w:rPr>
          <w:rFonts w:hint="eastAsia" w:ascii="仿宋" w:hAnsi="仿宋" w:eastAsia="仿宋"/>
          <w:sz w:val="28"/>
          <w:szCs w:val="28"/>
        </w:rPr>
        <w:t>12人成为培养对象。其中</w:t>
      </w:r>
      <w:r>
        <w:rPr>
          <w:rFonts w:ascii="仿宋" w:hAnsi="仿宋" w:eastAsia="仿宋"/>
          <w:sz w:val="28"/>
          <w:szCs w:val="28"/>
        </w:rPr>
        <w:t>多名已入选江苏省高校“青蓝工程”培养对象</w:t>
      </w:r>
      <w:r>
        <w:rPr>
          <w:rFonts w:hint="eastAsia" w:ascii="仿宋" w:hAnsi="仿宋" w:eastAsia="仿宋"/>
          <w:sz w:val="28"/>
          <w:szCs w:val="28"/>
        </w:rPr>
        <w:t>。</w:t>
      </w:r>
      <w:r>
        <w:rPr>
          <w:rFonts w:ascii="仿宋" w:hAnsi="仿宋" w:eastAsia="仿宋"/>
          <w:sz w:val="28"/>
          <w:szCs w:val="28"/>
        </w:rPr>
        <w:t>人才培养项目的推进</w:t>
      </w:r>
      <w:r>
        <w:rPr>
          <w:rFonts w:hint="eastAsia" w:ascii="仿宋" w:hAnsi="仿宋" w:eastAsia="仿宋"/>
          <w:sz w:val="28"/>
          <w:szCs w:val="28"/>
        </w:rPr>
        <w:t>，</w:t>
      </w:r>
      <w:r>
        <w:rPr>
          <w:rFonts w:ascii="仿宋" w:hAnsi="仿宋" w:eastAsia="仿宋"/>
          <w:sz w:val="28"/>
          <w:szCs w:val="28"/>
        </w:rPr>
        <w:t>促进了学校中青年学术骨干</w:t>
      </w:r>
      <w:r>
        <w:rPr>
          <w:rFonts w:hint="eastAsia" w:ascii="仿宋" w:hAnsi="仿宋" w:eastAsia="仿宋"/>
          <w:sz w:val="28"/>
          <w:szCs w:val="28"/>
        </w:rPr>
        <w:t>教师</w:t>
      </w:r>
      <w:r>
        <w:rPr>
          <w:rFonts w:ascii="仿宋" w:hAnsi="仿宋" w:eastAsia="仿宋"/>
          <w:sz w:val="28"/>
          <w:szCs w:val="28"/>
        </w:rPr>
        <w:t>快速成长。充分发挥特聘教授</w:t>
      </w:r>
      <w:r>
        <w:rPr>
          <w:rFonts w:hint="eastAsia" w:ascii="仿宋" w:hAnsi="仿宋" w:eastAsia="仿宋"/>
          <w:sz w:val="28"/>
          <w:szCs w:val="28"/>
        </w:rPr>
        <w:t>及</w:t>
      </w:r>
      <w:r>
        <w:rPr>
          <w:rFonts w:ascii="仿宋" w:hAnsi="仿宋" w:eastAsia="仿宋"/>
          <w:sz w:val="28"/>
          <w:szCs w:val="28"/>
        </w:rPr>
        <w:t>团队积极作用，</w:t>
      </w:r>
      <w:r>
        <w:rPr>
          <w:rFonts w:hint="eastAsia" w:ascii="仿宋" w:hAnsi="仿宋" w:eastAsia="仿宋"/>
          <w:sz w:val="28"/>
          <w:szCs w:val="28"/>
        </w:rPr>
        <w:t>通过</w:t>
      </w:r>
      <w:r>
        <w:rPr>
          <w:rFonts w:ascii="仿宋" w:hAnsi="仿宋" w:eastAsia="仿宋"/>
          <w:sz w:val="28"/>
          <w:szCs w:val="28"/>
        </w:rPr>
        <w:t>担任青年教师的教学导师，指导帮助新教师更快</w:t>
      </w:r>
      <w:r>
        <w:rPr>
          <w:rFonts w:hint="eastAsia" w:ascii="仿宋" w:hAnsi="仿宋" w:eastAsia="仿宋"/>
          <w:sz w:val="28"/>
          <w:szCs w:val="28"/>
        </w:rPr>
        <w:t>成长，</w:t>
      </w:r>
      <w:r>
        <w:rPr>
          <w:rFonts w:ascii="仿宋" w:hAnsi="仿宋" w:eastAsia="仿宋"/>
          <w:sz w:val="28"/>
          <w:szCs w:val="28"/>
        </w:rPr>
        <w:t>加大师资培训力度，重视教师职业生涯深造和</w:t>
      </w:r>
      <w:r>
        <w:rPr>
          <w:rFonts w:hint="eastAsia" w:ascii="仿宋" w:hAnsi="仿宋" w:eastAsia="仿宋"/>
          <w:sz w:val="28"/>
          <w:szCs w:val="28"/>
        </w:rPr>
        <w:t>培养。本学年教师参加入职培训39人、岗前培训42人次，参加国家级培训项目12人、省级培训项目54人、网络培训项目37人；3人参加专业带头人高端研修、企业实践；几十位教师主动利用寒暑假和平时双休时间参加企业实践，提高了“双师”素质，各类培训培养项目的开展有效提升了教师的教学技能与业务素质。</w:t>
      </w:r>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该校重视教师的教学与科研能力，邀请校外专家开展“</w:t>
      </w:r>
      <w:r>
        <w:rPr>
          <w:rFonts w:ascii="仿宋" w:hAnsi="仿宋" w:eastAsia="仿宋"/>
          <w:sz w:val="28"/>
          <w:szCs w:val="28"/>
        </w:rPr>
        <w:t>当前国际形势：中国的挑战与机遇”</w:t>
      </w:r>
      <w:r>
        <w:rPr>
          <w:rFonts w:hint="eastAsia" w:ascii="仿宋" w:hAnsi="仿宋" w:eastAsia="仿宋"/>
          <w:sz w:val="28"/>
          <w:szCs w:val="28"/>
        </w:rPr>
        <w:t>、“电子商务研究与实践前沿”、“高校青年教师科研能力培养”等多场主题培训，举办教师教学能力提升培训和教师综合素质提升培训活动，邀请兄弟院校领导及国赛一等奖团队教师传授并分享其校教学管理经验与教学大赛参赛经验，提升教师的在线开放课程建设与维护与微课制作能力。充分发挥特聘教授的示范、引领、辐射、带动作用，继续开展该校“名师讲堂”系列讲座活动。借鉴其丰富教学、科研经验，以科研为新动力，带动和促进教学，不断提高教育教学水平。多位特聘教授结合其专业优势开展了“怎样写好科技论文”、“新教师如何备好第一轮课”等多场主题讲座，启迪智慧，增强能力，促进成长。</w:t>
      </w:r>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学校各二级学院高度重视教师队伍建设，特别是青年教师的快速健康成长，强化教师持续提升教学科研能力，本学年医学与公共服务学院、国际商学院等组织新教师试讲活动，开展新进教师培训；国际商学院多次举办学术报告会，开展研讨交流；人文社会科学学院启动 “教师教学、科研能力提升计划（2022-2024）”，开展系列活动，举办“课堂革命背景下外语类课程教学设计”等主题沙龙；信息与软件学院举办微课制作培训活动；在各二级学院的“教学设计比赛”基础上，学校组织决赛活动，以此推进授课教师教学能力的持续提升，并为市级、省级教师教学能力比赛选拔人才。</w:t>
      </w:r>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教师能力不断提升。近年来，该校教师以赛促教，苦练硬功，在多项技能大赛上赢得佳绩。本学年参加</w:t>
      </w:r>
      <w:r>
        <w:rPr>
          <w:rFonts w:ascii="仿宋" w:hAnsi="仿宋" w:eastAsia="仿宋"/>
          <w:sz w:val="28"/>
          <w:szCs w:val="28"/>
        </w:rPr>
        <w:t>2022年</w:t>
      </w:r>
      <w:r>
        <w:rPr>
          <w:rFonts w:hint="eastAsia" w:ascii="仿宋" w:hAnsi="仿宋" w:eastAsia="仿宋"/>
          <w:sz w:val="28"/>
          <w:szCs w:val="28"/>
        </w:rPr>
        <w:t>江苏</w:t>
      </w:r>
      <w:r>
        <w:rPr>
          <w:rFonts w:ascii="仿宋" w:hAnsi="仿宋" w:eastAsia="仿宋"/>
          <w:sz w:val="28"/>
          <w:szCs w:val="28"/>
        </w:rPr>
        <w:t>省教学能力大赛中荣获4个三等奖</w:t>
      </w:r>
      <w:r>
        <w:rPr>
          <w:rFonts w:hint="eastAsia" w:ascii="仿宋" w:hAnsi="仿宋" w:eastAsia="仿宋"/>
          <w:sz w:val="28"/>
          <w:szCs w:val="28"/>
        </w:rPr>
        <w:t>：</w:t>
      </w:r>
      <w:r>
        <w:rPr>
          <w:rFonts w:ascii="仿宋" w:hAnsi="仿宋" w:eastAsia="仿宋"/>
          <w:sz w:val="28"/>
          <w:szCs w:val="28"/>
        </w:rPr>
        <w:t>获奖的教学团队及教师有：电商团队：丁丹，成凤，周艳，沈鸾</w:t>
      </w:r>
      <w:r>
        <w:rPr>
          <w:rFonts w:hint="eastAsia" w:ascii="仿宋" w:hAnsi="仿宋" w:eastAsia="仿宋"/>
          <w:sz w:val="28"/>
          <w:szCs w:val="28"/>
        </w:rPr>
        <w:t>（见图2.1）</w:t>
      </w:r>
      <w:r>
        <w:rPr>
          <w:rFonts w:ascii="仿宋" w:hAnsi="仿宋" w:eastAsia="仿宋"/>
          <w:sz w:val="28"/>
          <w:szCs w:val="28"/>
        </w:rPr>
        <w:t>；英语团队：何冰丽，马亚丽，刘洋，吴晓娟；建筑设计团队：张金威，汤云叶，徐晓霞，付玲；高铁乘务团队：吕雨阶，牛伟，马雪琴，王昊涵。</w:t>
      </w:r>
      <w:r>
        <w:rPr>
          <w:rFonts w:hint="eastAsia" w:ascii="仿宋" w:hAnsi="仿宋" w:eastAsia="仿宋"/>
          <w:sz w:val="28"/>
          <w:szCs w:val="28"/>
        </w:rPr>
        <w:t>连续三年该校已获得1</w:t>
      </w:r>
      <w:r>
        <w:rPr>
          <w:rFonts w:ascii="仿宋" w:hAnsi="仿宋" w:eastAsia="仿宋"/>
          <w:sz w:val="28"/>
          <w:szCs w:val="28"/>
        </w:rPr>
        <w:t>1</w:t>
      </w:r>
      <w:r>
        <w:rPr>
          <w:rFonts w:hint="eastAsia" w:ascii="仿宋" w:hAnsi="仿宋" w:eastAsia="仿宋"/>
          <w:sz w:val="28"/>
          <w:szCs w:val="28"/>
        </w:rPr>
        <w:t>个奖项，覆盖了软件技术、住宅空间设计、英语、会计、电子商务、旅游管理等多项领域（见案例4）。2</w:t>
      </w:r>
      <w:r>
        <w:rPr>
          <w:rFonts w:ascii="仿宋" w:hAnsi="仿宋" w:eastAsia="仿宋"/>
          <w:sz w:val="28"/>
          <w:szCs w:val="28"/>
        </w:rPr>
        <w:t>022</w:t>
      </w:r>
      <w:r>
        <w:rPr>
          <w:rFonts w:hint="eastAsia" w:ascii="仿宋" w:hAnsi="仿宋" w:eastAsia="仿宋"/>
          <w:sz w:val="28"/>
          <w:szCs w:val="28"/>
        </w:rPr>
        <w:t>年江苏省</w:t>
      </w:r>
      <w:r>
        <w:rPr>
          <w:rFonts w:ascii="仿宋" w:hAnsi="仿宋" w:eastAsia="仿宋"/>
          <w:sz w:val="28"/>
          <w:szCs w:val="28"/>
        </w:rPr>
        <w:t>首届室内艺术设计教师组比赛</w:t>
      </w:r>
      <w:r>
        <w:rPr>
          <w:rFonts w:hint="eastAsia" w:ascii="仿宋" w:hAnsi="仿宋" w:eastAsia="仿宋"/>
          <w:sz w:val="28"/>
          <w:szCs w:val="28"/>
        </w:rPr>
        <w:t>获奖1项：付玲老师荣获个人二等奖。在</w:t>
      </w:r>
      <w:r>
        <w:rPr>
          <w:rFonts w:ascii="仿宋" w:hAnsi="仿宋" w:eastAsia="仿宋"/>
          <w:sz w:val="28"/>
          <w:szCs w:val="28"/>
        </w:rPr>
        <w:t>首届江苏省高校艺术教师基本功展示活动中</w:t>
      </w:r>
      <w:r>
        <w:rPr>
          <w:rFonts w:hint="eastAsia" w:ascii="仿宋" w:hAnsi="仿宋" w:eastAsia="仿宋"/>
          <w:sz w:val="28"/>
          <w:szCs w:val="28"/>
        </w:rPr>
        <w:t>获取</w:t>
      </w:r>
      <w:r>
        <w:rPr>
          <w:rFonts w:ascii="仿宋" w:hAnsi="仿宋" w:eastAsia="仿宋"/>
          <w:sz w:val="28"/>
          <w:szCs w:val="28"/>
        </w:rPr>
        <w:t>个人全能三等奖两项</w:t>
      </w:r>
      <w:r>
        <w:rPr>
          <w:rFonts w:hint="eastAsia" w:ascii="仿宋" w:hAnsi="仿宋" w:eastAsia="仿宋"/>
          <w:sz w:val="28"/>
          <w:szCs w:val="28"/>
        </w:rPr>
        <w:t>：</w:t>
      </w:r>
      <w:r>
        <w:rPr>
          <w:rFonts w:ascii="仿宋" w:hAnsi="仿宋" w:eastAsia="仿宋"/>
          <w:sz w:val="28"/>
          <w:szCs w:val="28"/>
        </w:rPr>
        <w:t>孙雅君</w:t>
      </w:r>
      <w:r>
        <w:rPr>
          <w:rFonts w:hint="eastAsia" w:ascii="仿宋" w:hAnsi="仿宋" w:eastAsia="仿宋"/>
          <w:sz w:val="28"/>
          <w:szCs w:val="28"/>
        </w:rPr>
        <w:t>老师荣获</w:t>
      </w:r>
      <w:r>
        <w:rPr>
          <w:rFonts w:ascii="仿宋" w:hAnsi="仿宋" w:eastAsia="仿宋"/>
          <w:sz w:val="28"/>
          <w:szCs w:val="28"/>
        </w:rPr>
        <w:t>专业艺术教育组设计应用类三等奖</w:t>
      </w:r>
      <w:r>
        <w:rPr>
          <w:rFonts w:hint="eastAsia" w:ascii="仿宋" w:hAnsi="仿宋" w:eastAsia="仿宋"/>
          <w:sz w:val="28"/>
          <w:szCs w:val="28"/>
        </w:rPr>
        <w:t>；</w:t>
      </w:r>
      <w:r>
        <w:rPr>
          <w:rFonts w:ascii="仿宋" w:hAnsi="仿宋" w:eastAsia="仿宋"/>
          <w:sz w:val="28"/>
          <w:szCs w:val="28"/>
        </w:rPr>
        <w:t>张婷</w:t>
      </w:r>
      <w:r>
        <w:rPr>
          <w:rFonts w:hint="eastAsia" w:ascii="仿宋" w:hAnsi="仿宋" w:eastAsia="仿宋"/>
          <w:sz w:val="28"/>
          <w:szCs w:val="28"/>
        </w:rPr>
        <w:t>老师荣获</w:t>
      </w:r>
      <w:r>
        <w:rPr>
          <w:rFonts w:ascii="仿宋" w:hAnsi="仿宋" w:eastAsia="仿宋"/>
          <w:sz w:val="28"/>
          <w:szCs w:val="28"/>
        </w:rPr>
        <w:t>公共艺术教育组造型表现及书法类三等奖</w:t>
      </w:r>
      <w:r>
        <w:rPr>
          <w:rFonts w:hint="eastAsia" w:ascii="仿宋" w:hAnsi="仿宋" w:eastAsia="仿宋"/>
          <w:sz w:val="28"/>
          <w:szCs w:val="28"/>
        </w:rPr>
        <w:t>。</w:t>
      </w:r>
      <w:r>
        <w:rPr>
          <w:rFonts w:ascii="仿宋" w:hAnsi="仿宋" w:eastAsia="仿宋"/>
          <w:sz w:val="28"/>
          <w:szCs w:val="28"/>
        </w:rPr>
        <w:t>2021年江苏省高职院校微课教学比赛</w:t>
      </w:r>
      <w:r>
        <w:rPr>
          <w:rFonts w:hint="eastAsia" w:ascii="仿宋" w:hAnsi="仿宋" w:eastAsia="仿宋"/>
          <w:sz w:val="28"/>
          <w:szCs w:val="28"/>
        </w:rPr>
        <w:t>获奖3项：</w:t>
      </w:r>
      <w:r>
        <w:rPr>
          <w:rFonts w:ascii="仿宋" w:hAnsi="仿宋" w:eastAsia="仿宋"/>
          <w:sz w:val="28"/>
          <w:szCs w:val="28"/>
        </w:rPr>
        <w:t>吴振杰</w:t>
      </w:r>
      <w:r>
        <w:rPr>
          <w:rFonts w:hint="eastAsia" w:ascii="仿宋" w:hAnsi="仿宋" w:eastAsia="仿宋"/>
          <w:sz w:val="28"/>
          <w:szCs w:val="28"/>
        </w:rPr>
        <w:t>老师</w:t>
      </w:r>
      <w:r>
        <w:rPr>
          <w:rFonts w:ascii="仿宋" w:hAnsi="仿宋" w:eastAsia="仿宋"/>
          <w:sz w:val="28"/>
          <w:szCs w:val="28"/>
        </w:rPr>
        <w:t xml:space="preserve"> “红酒醉人香，挑选别上当”</w:t>
      </w:r>
      <w:r>
        <w:rPr>
          <w:rFonts w:hint="eastAsia" w:ascii="仿宋" w:hAnsi="仿宋" w:eastAsia="仿宋"/>
          <w:sz w:val="28"/>
          <w:szCs w:val="28"/>
        </w:rPr>
        <w:t>荣获二等奖；</w:t>
      </w:r>
      <w:r>
        <w:rPr>
          <w:rFonts w:ascii="仿宋" w:hAnsi="仿宋" w:eastAsia="仿宋"/>
          <w:sz w:val="28"/>
          <w:szCs w:val="28"/>
        </w:rPr>
        <w:t>许盼</w:t>
      </w:r>
      <w:r>
        <w:rPr>
          <w:rFonts w:hint="eastAsia" w:ascii="仿宋" w:hAnsi="仿宋" w:eastAsia="仿宋"/>
          <w:sz w:val="28"/>
          <w:szCs w:val="28"/>
        </w:rPr>
        <w:t>老师</w:t>
      </w:r>
      <w:r>
        <w:rPr>
          <w:rFonts w:ascii="仿宋" w:hAnsi="仿宋" w:eastAsia="仿宋"/>
          <w:sz w:val="28"/>
          <w:szCs w:val="28"/>
        </w:rPr>
        <w:t>“千载儒释道，万右山水茶——盖碗茶艺介绍”</w:t>
      </w:r>
      <w:r>
        <w:rPr>
          <w:rFonts w:hint="eastAsia" w:ascii="仿宋" w:hAnsi="仿宋" w:eastAsia="仿宋"/>
          <w:sz w:val="28"/>
          <w:szCs w:val="28"/>
        </w:rPr>
        <w:t>和</w:t>
      </w:r>
      <w:r>
        <w:rPr>
          <w:rFonts w:ascii="仿宋" w:hAnsi="仿宋" w:eastAsia="仿宋"/>
          <w:sz w:val="28"/>
          <w:szCs w:val="28"/>
        </w:rPr>
        <w:t>张金威</w:t>
      </w:r>
      <w:r>
        <w:rPr>
          <w:rFonts w:hint="eastAsia" w:ascii="仿宋" w:hAnsi="仿宋" w:eastAsia="仿宋"/>
          <w:sz w:val="28"/>
          <w:szCs w:val="28"/>
        </w:rPr>
        <w:t>老师</w:t>
      </w:r>
      <w:r>
        <w:rPr>
          <w:rFonts w:ascii="仿宋" w:hAnsi="仿宋" w:eastAsia="仿宋"/>
          <w:sz w:val="28"/>
          <w:szCs w:val="28"/>
        </w:rPr>
        <w:t xml:space="preserve"> “从陶瓷到不锈钢——反射参数设置探究”</w:t>
      </w:r>
      <w:r>
        <w:rPr>
          <w:rFonts w:hint="eastAsia" w:ascii="仿宋" w:hAnsi="仿宋" w:eastAsia="仿宋"/>
          <w:sz w:val="28"/>
          <w:szCs w:val="28"/>
        </w:rPr>
        <w:t>分获三等奖。2021年苏州市高职院校教师教学能力大赛两支团队获奖：公共课程组一等奖：刘峰、石梦旋、胡微老师；专业课程组二等奖：张婷、刘攀、刘若诗、田丹丹老师。</w:t>
      </w:r>
    </w:p>
    <w:p>
      <w:pPr>
        <w:keepNext/>
        <w:adjustRightInd w:val="0"/>
        <w:snapToGrid w:val="0"/>
        <w:spacing w:before="156" w:beforeLines="50" w:line="360" w:lineRule="auto"/>
        <w:jc w:val="center"/>
      </w:pPr>
      <w:r>
        <w:drawing>
          <wp:inline distT="0" distB="0" distL="0" distR="0">
            <wp:extent cx="4358005" cy="326961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4381764" cy="3287573"/>
                    </a:xfrm>
                    <a:prstGeom prst="rect">
                      <a:avLst/>
                    </a:prstGeom>
                    <a:noFill/>
                    <a:ln>
                      <a:noFill/>
                    </a:ln>
                  </pic:spPr>
                </pic:pic>
              </a:graphicData>
            </a:graphic>
          </wp:inline>
        </w:drawing>
      </w:r>
    </w:p>
    <w:p>
      <w:pPr>
        <w:pStyle w:val="5"/>
        <w:jc w:val="center"/>
        <w:rPr>
          <w:rFonts w:ascii="仿宋_GB2312" w:eastAsia="仿宋_GB2312" w:hAnsiTheme="minorHAnsi" w:cstheme="minorBidi"/>
          <w:b/>
          <w:sz w:val="24"/>
          <w:szCs w:val="24"/>
        </w:rPr>
      </w:pPr>
      <w:bookmarkStart w:id="106" w:name="_Toc124169689"/>
      <w:bookmarkStart w:id="107" w:name="_Toc124169599"/>
      <w:r>
        <w:rPr>
          <w:rFonts w:hint="eastAsia" w:ascii="仿宋_GB2312" w:eastAsia="仿宋_GB2312" w:hAnsiTheme="minorHAnsi" w:cstheme="minorBidi"/>
          <w:b/>
          <w:sz w:val="24"/>
          <w:szCs w:val="24"/>
        </w:rPr>
        <w:t xml:space="preserve">图2. </w:t>
      </w:r>
      <w:r>
        <w:rPr>
          <w:rFonts w:ascii="仿宋_GB2312" w:eastAsia="仿宋_GB2312" w:hAnsiTheme="minorHAnsi" w:cstheme="minorBidi"/>
          <w:b/>
          <w:sz w:val="24"/>
          <w:szCs w:val="24"/>
        </w:rPr>
        <w:fldChar w:fldCharType="begin"/>
      </w:r>
      <w:r>
        <w:rPr>
          <w:rFonts w:ascii="仿宋_GB2312" w:eastAsia="仿宋_GB2312" w:hAnsiTheme="minorHAnsi" w:cstheme="minorBidi"/>
          <w:b/>
          <w:sz w:val="24"/>
          <w:szCs w:val="24"/>
        </w:rPr>
        <w:instrText xml:space="preserve"> </w:instrText>
      </w:r>
      <w:r>
        <w:rPr>
          <w:rFonts w:hint="eastAsia" w:ascii="仿宋_GB2312" w:eastAsia="仿宋_GB2312" w:hAnsiTheme="minorHAnsi" w:cstheme="minorBidi"/>
          <w:b/>
          <w:sz w:val="24"/>
          <w:szCs w:val="24"/>
        </w:rPr>
        <w:instrText xml:space="preserve">SEQ 图2. \* ARABIC</w:instrText>
      </w:r>
      <w:r>
        <w:rPr>
          <w:rFonts w:ascii="仿宋_GB2312" w:eastAsia="仿宋_GB2312" w:hAnsiTheme="minorHAnsi" w:cstheme="minorBidi"/>
          <w:b/>
          <w:sz w:val="24"/>
          <w:szCs w:val="24"/>
        </w:rPr>
        <w:instrText xml:space="preserve"> </w:instrText>
      </w:r>
      <w:r>
        <w:rPr>
          <w:rFonts w:ascii="仿宋_GB2312" w:eastAsia="仿宋_GB2312" w:hAnsiTheme="minorHAnsi" w:cstheme="minorBidi"/>
          <w:b/>
          <w:sz w:val="24"/>
          <w:szCs w:val="24"/>
        </w:rPr>
        <w:fldChar w:fldCharType="separate"/>
      </w:r>
      <w:r>
        <w:rPr>
          <w:rFonts w:ascii="仿宋_GB2312" w:eastAsia="仿宋_GB2312" w:hAnsiTheme="minorHAnsi" w:cstheme="minorBidi"/>
          <w:b/>
          <w:sz w:val="24"/>
          <w:szCs w:val="24"/>
        </w:rPr>
        <w:t>1</w:t>
      </w:r>
      <w:r>
        <w:rPr>
          <w:rFonts w:ascii="仿宋_GB2312" w:eastAsia="仿宋_GB2312" w:hAnsiTheme="minorHAnsi" w:cstheme="minorBidi"/>
          <w:b/>
          <w:sz w:val="24"/>
          <w:szCs w:val="24"/>
        </w:rPr>
        <w:fldChar w:fldCharType="end"/>
      </w:r>
      <w:r>
        <w:rPr>
          <w:rFonts w:ascii="仿宋_GB2312" w:eastAsia="仿宋_GB2312" w:hAnsiTheme="minorHAnsi" w:cstheme="minorBidi"/>
          <w:b/>
          <w:sz w:val="24"/>
          <w:szCs w:val="24"/>
        </w:rPr>
        <w:t xml:space="preserve"> </w:t>
      </w:r>
      <w:r>
        <w:rPr>
          <w:rFonts w:hint="eastAsia" w:ascii="仿宋_GB2312" w:eastAsia="仿宋_GB2312"/>
          <w:b/>
          <w:sz w:val="24"/>
          <w:szCs w:val="24"/>
        </w:rPr>
        <w:t>参加2</w:t>
      </w:r>
      <w:r>
        <w:rPr>
          <w:rFonts w:ascii="仿宋_GB2312" w:eastAsia="仿宋_GB2312"/>
          <w:b/>
          <w:sz w:val="24"/>
          <w:szCs w:val="24"/>
        </w:rPr>
        <w:t>022</w:t>
      </w:r>
      <w:r>
        <w:rPr>
          <w:rFonts w:hint="eastAsia" w:ascii="仿宋_GB2312" w:eastAsia="仿宋_GB2312"/>
          <w:b/>
          <w:sz w:val="24"/>
          <w:szCs w:val="24"/>
        </w:rPr>
        <w:t>省教师教学能力大赛直播与短视频营销获奖团队</w:t>
      </w:r>
      <w:bookmarkEnd w:id="106"/>
      <w:bookmarkEnd w:id="107"/>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该校教师的社会影响也在不断扩展。继艺术与建筑学院获批新建首个苏州市高新区技能大师（名师）工作室以后，该校信息与软件学院2022年获批江苏省职业教育软件技术“双师型”名师工作室，由副院长李月峰副教授领衔。继王雨中教授作品成功入选第十三届全国美术作品展览，韩美英副教授入选苏州高新区青年文化拔尖人才计划以后；本学年孙雅琼老师入选苏州市建筑信息模型（BIM）专家库；孙猛老师受邀成为2</w:t>
      </w:r>
      <w:r>
        <w:rPr>
          <w:rFonts w:ascii="仿宋" w:hAnsi="仿宋" w:eastAsia="仿宋"/>
          <w:sz w:val="28"/>
          <w:szCs w:val="28"/>
        </w:rPr>
        <w:t>023</w:t>
      </w:r>
      <w:r>
        <w:rPr>
          <w:rFonts w:hint="eastAsia" w:ascii="仿宋" w:hAnsi="仿宋" w:eastAsia="仿宋"/>
          <w:sz w:val="28"/>
          <w:szCs w:val="28"/>
        </w:rPr>
        <w:t>年江苏省职业院校技能大赛“建筑装饰技能”赛项的裁判等等。</w:t>
      </w:r>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学校重视行业、企业专家参与课程教学及人才培养。本学年学校共聘请行业导师69人，占专任教师的比例为14.44%（见图</w:t>
      </w:r>
      <w:r>
        <w:rPr>
          <w:rFonts w:ascii="仿宋" w:hAnsi="仿宋" w:eastAsia="仿宋"/>
          <w:sz w:val="28"/>
          <w:szCs w:val="28"/>
        </w:rPr>
        <w:t>13</w:t>
      </w:r>
      <w:r>
        <w:rPr>
          <w:rFonts w:hint="eastAsia" w:ascii="仿宋" w:hAnsi="仿宋" w:eastAsia="仿宋"/>
          <w:sz w:val="28"/>
          <w:szCs w:val="28"/>
        </w:rPr>
        <w:t>），主要承担专业课程和专业实践课程。</w:t>
      </w:r>
    </w:p>
    <w:p>
      <w:pPr>
        <w:adjustRightInd w:val="0"/>
        <w:snapToGrid w:val="0"/>
        <w:spacing w:before="156" w:beforeLines="50" w:line="360" w:lineRule="auto"/>
        <w:jc w:val="center"/>
        <w:rPr>
          <w:rFonts w:ascii="仿宋_GB2312" w:eastAsia="仿宋_GB2312" w:hAnsiTheme="minorEastAsia"/>
          <w:sz w:val="28"/>
          <w:szCs w:val="28"/>
        </w:rPr>
      </w:pPr>
      <w:r>
        <w:rPr>
          <w:rFonts w:ascii="仿宋_GB2312" w:eastAsia="仿宋_GB2312" w:hAnsiTheme="minorEastAsia"/>
          <w:sz w:val="28"/>
          <w:szCs w:val="28"/>
        </w:rPr>
        <w:drawing>
          <wp:inline distT="0" distB="0" distL="0" distR="0">
            <wp:extent cx="3602990" cy="2699385"/>
            <wp:effectExtent l="0" t="0" r="0" b="57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3603600" cy="2700000"/>
                    </a:xfrm>
                    <a:prstGeom prst="rect">
                      <a:avLst/>
                    </a:prstGeom>
                    <a:noFill/>
                  </pic:spPr>
                </pic:pic>
              </a:graphicData>
            </a:graphic>
          </wp:inline>
        </w:drawing>
      </w:r>
    </w:p>
    <w:p>
      <w:pPr>
        <w:widowControl/>
        <w:spacing w:after="156" w:afterLines="50" w:line="360" w:lineRule="auto"/>
        <w:jc w:val="center"/>
        <w:rPr>
          <w:rFonts w:ascii="仿宋_GB2312" w:eastAsia="仿宋_GB2312"/>
          <w:b/>
          <w:sz w:val="24"/>
          <w:szCs w:val="24"/>
        </w:rPr>
      </w:pPr>
      <w:bookmarkStart w:id="108" w:name="_Toc124169600"/>
      <w:bookmarkStart w:id="109" w:name="_Toc124169690"/>
      <w:bookmarkStart w:id="110" w:name="_Hlk121992775"/>
      <w:r>
        <w:rPr>
          <w:rFonts w:hint="eastAsia" w:ascii="仿宋_GB2312" w:eastAsia="仿宋_GB2312"/>
          <w:b/>
          <w:sz w:val="24"/>
          <w:szCs w:val="24"/>
        </w:rPr>
        <w:t xml:space="preserve">图2. </w:t>
      </w:r>
      <w:r>
        <w:rPr>
          <w:rFonts w:ascii="仿宋_GB2312" w:eastAsia="仿宋_GB2312"/>
          <w:b/>
          <w:sz w:val="24"/>
          <w:szCs w:val="24"/>
        </w:rPr>
        <w:fldChar w:fldCharType="begin"/>
      </w:r>
      <w:r>
        <w:rPr>
          <w:rFonts w:ascii="仿宋_GB2312" w:eastAsia="仿宋_GB2312"/>
          <w:b/>
          <w:sz w:val="24"/>
          <w:szCs w:val="24"/>
        </w:rPr>
        <w:instrText xml:space="preserve"> </w:instrText>
      </w:r>
      <w:r>
        <w:rPr>
          <w:rFonts w:hint="eastAsia" w:ascii="仿宋_GB2312" w:eastAsia="仿宋_GB2312"/>
          <w:b/>
          <w:sz w:val="24"/>
          <w:szCs w:val="24"/>
        </w:rPr>
        <w:instrText xml:space="preserve">SEQ 图2. \* ARABIC</w:instrText>
      </w:r>
      <w:r>
        <w:rPr>
          <w:rFonts w:ascii="仿宋_GB2312" w:eastAsia="仿宋_GB2312"/>
          <w:b/>
          <w:sz w:val="24"/>
          <w:szCs w:val="24"/>
        </w:rPr>
        <w:instrText xml:space="preserve"> </w:instrText>
      </w:r>
      <w:r>
        <w:rPr>
          <w:rFonts w:ascii="仿宋_GB2312" w:eastAsia="仿宋_GB2312"/>
          <w:b/>
          <w:sz w:val="24"/>
          <w:szCs w:val="24"/>
        </w:rPr>
        <w:fldChar w:fldCharType="separate"/>
      </w:r>
      <w:r>
        <w:rPr>
          <w:rFonts w:ascii="仿宋_GB2312" w:eastAsia="仿宋_GB2312"/>
          <w:b/>
          <w:sz w:val="24"/>
          <w:szCs w:val="24"/>
        </w:rPr>
        <w:t>2</w:t>
      </w:r>
      <w:r>
        <w:rPr>
          <w:rFonts w:ascii="仿宋_GB2312" w:eastAsia="仿宋_GB2312"/>
          <w:b/>
          <w:sz w:val="24"/>
          <w:szCs w:val="24"/>
        </w:rPr>
        <w:fldChar w:fldCharType="end"/>
      </w:r>
      <w:r>
        <w:rPr>
          <w:rFonts w:ascii="仿宋_GB2312" w:eastAsia="仿宋_GB2312"/>
          <w:b/>
          <w:sz w:val="24"/>
          <w:szCs w:val="24"/>
        </w:rPr>
        <w:t xml:space="preserve"> </w:t>
      </w:r>
      <w:r>
        <w:rPr>
          <w:rFonts w:hint="eastAsia" w:ascii="仿宋_GB2312" w:eastAsia="仿宋_GB2312"/>
          <w:b/>
          <w:sz w:val="24"/>
          <w:szCs w:val="24"/>
        </w:rPr>
        <w:t>苏州科技城医院临床教师《外科护理学》授课现场</w:t>
      </w:r>
      <w:bookmarkEnd w:id="108"/>
      <w:bookmarkEnd w:id="109"/>
    </w:p>
    <w:bookmarkEnd w:id="110"/>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专业教学团队建设获得成果。该校在建两批共6个优秀教学团队，软件技术专业群教学团队、环境艺术专业教学团队、会计专业教学团队、机器人&amp;无人机专业群教学团队、大健康服务专业（群）教学团队、外语教学团队等，继“软件技术专业”2020年被评为苏州高职高专院校第三批优秀教学团队以后，以副院长</w:t>
      </w:r>
      <w:r>
        <w:rPr>
          <w:rFonts w:ascii="仿宋" w:hAnsi="仿宋" w:eastAsia="仿宋"/>
          <w:sz w:val="28"/>
          <w:szCs w:val="28"/>
        </w:rPr>
        <w:t>江水明副教授为带头人</w:t>
      </w:r>
      <w:r>
        <w:rPr>
          <w:rFonts w:hint="eastAsia" w:ascii="仿宋" w:hAnsi="仿宋" w:eastAsia="仿宋"/>
          <w:sz w:val="28"/>
          <w:szCs w:val="28"/>
        </w:rPr>
        <w:t>的环境艺术设计团队获</w:t>
      </w:r>
      <w:r>
        <w:rPr>
          <w:rFonts w:ascii="仿宋" w:hAnsi="仿宋" w:eastAsia="仿宋"/>
          <w:sz w:val="28"/>
          <w:szCs w:val="28"/>
        </w:rPr>
        <w:t>2021 年</w:t>
      </w:r>
      <w:bookmarkStart w:id="111" w:name="_Hlk121928716"/>
      <w:r>
        <w:rPr>
          <w:rFonts w:ascii="仿宋" w:hAnsi="仿宋" w:eastAsia="仿宋"/>
          <w:sz w:val="28"/>
          <w:szCs w:val="28"/>
        </w:rPr>
        <w:t>苏州市高职教育教师创新团队</w:t>
      </w:r>
      <w:bookmarkEnd w:id="111"/>
      <w:r>
        <w:rPr>
          <w:rFonts w:ascii="仿宋" w:hAnsi="仿宋" w:eastAsia="仿宋"/>
          <w:sz w:val="28"/>
          <w:szCs w:val="28"/>
        </w:rPr>
        <w:t>建设项目立项</w:t>
      </w:r>
      <w:r>
        <w:rPr>
          <w:rFonts w:hint="eastAsia" w:ascii="仿宋" w:hAnsi="仿宋" w:eastAsia="仿宋"/>
          <w:sz w:val="28"/>
          <w:szCs w:val="28"/>
        </w:rPr>
        <w:t>。</w:t>
      </w:r>
    </w:p>
    <w:p>
      <w:pPr>
        <w:adjustRightInd w:val="0"/>
        <w:snapToGrid w:val="0"/>
        <w:spacing w:line="360" w:lineRule="auto"/>
        <w:ind w:firstLine="560" w:firstLineChars="200"/>
        <w:rPr>
          <w:rFonts w:ascii="仿宋" w:hAnsi="仿宋" w:eastAsia="仿宋"/>
          <w:sz w:val="28"/>
          <w:szCs w:val="28"/>
        </w:rPr>
      </w:pPr>
    </w:p>
    <w:p>
      <w:pPr>
        <w:adjustRightInd w:val="0"/>
        <w:snapToGrid w:val="0"/>
        <w:spacing w:line="360" w:lineRule="auto"/>
        <w:ind w:firstLine="482" w:firstLineChars="200"/>
        <w:outlineLvl w:val="2"/>
        <w:rPr>
          <w:rFonts w:ascii="仿宋_GB2312" w:hAnsi="宋体" w:eastAsia="仿宋_GB2312"/>
          <w:b/>
          <w:color w:val="000000" w:themeColor="text1"/>
          <w:sz w:val="24"/>
          <w:szCs w:val="24"/>
        </w:rPr>
      </w:pPr>
      <w:bookmarkStart w:id="112" w:name="_Toc124087885"/>
      <w:bookmarkStart w:id="113" w:name="_Toc119932697"/>
      <w:r>
        <w:rPr>
          <w:rFonts w:hint="eastAsia" w:ascii="仿宋_GB2312" w:hAnsi="宋体" w:eastAsia="仿宋_GB2312"/>
          <w:b/>
          <w:color w:val="000000" w:themeColor="text1"/>
          <w:sz w:val="24"/>
          <w:szCs w:val="24"/>
        </w:rPr>
        <w:t>案例</w:t>
      </w:r>
      <w:bookmarkStart w:id="114" w:name="_Hlk118983632"/>
      <w:r>
        <w:rPr>
          <w:rFonts w:ascii="仿宋_GB2312" w:hAnsi="宋体" w:eastAsia="仿宋_GB2312"/>
          <w:b/>
          <w:color w:val="000000" w:themeColor="text1"/>
          <w:sz w:val="24"/>
          <w:szCs w:val="24"/>
        </w:rPr>
        <w:t>4</w:t>
      </w:r>
      <w:r>
        <w:rPr>
          <w:rFonts w:hint="eastAsia" w:ascii="仿宋_GB2312" w:hAnsi="宋体" w:eastAsia="仿宋_GB2312"/>
          <w:b/>
          <w:color w:val="000000" w:themeColor="text1"/>
          <w:sz w:val="24"/>
          <w:szCs w:val="24"/>
        </w:rPr>
        <w:t>【推进教师团队教学能力提高的积极探索】</w:t>
      </w:r>
      <w:bookmarkEnd w:id="112"/>
      <w:bookmarkEnd w:id="113"/>
      <w:bookmarkEnd w:id="114"/>
    </w:p>
    <w:p>
      <w:pPr>
        <w:widowControl/>
        <w:spacing w:line="360" w:lineRule="auto"/>
        <w:ind w:firstLine="480" w:firstLineChars="200"/>
        <w:rPr>
          <w:rFonts w:ascii="楷体_GB2312" w:hAnsi="宋体" w:eastAsia="楷体_GB2312" w:cs="Times New Roman"/>
          <w:color w:val="000000" w:themeColor="text1"/>
          <w:kern w:val="0"/>
          <w:sz w:val="24"/>
          <w:szCs w:val="24"/>
        </w:rPr>
      </w:pPr>
      <w:r>
        <w:rPr>
          <w:rFonts w:hint="eastAsia" w:ascii="楷体_GB2312" w:hAnsi="宋体" w:eastAsia="楷体_GB2312" w:cs="Times New Roman"/>
          <w:color w:val="000000" w:themeColor="text1"/>
          <w:kern w:val="0"/>
          <w:sz w:val="24"/>
          <w:szCs w:val="24"/>
        </w:rPr>
        <w:t>教师队伍的建设质量直接关系到教学质量。该校坚持 “以赛促教、以赛促改、以赛促建”的思路，以大赛为契机，深化教学改革，把调动专任教师参加省市教师教学能力大赛作为重要抓手，多次邀请国赛一等奖选手和教学管理专家来校交流，现身说法，传经送宝。创建了智能教室，出台了管理制度，形成了激励规范，为教师积极参与教学能力大赛创造条件，营造氛围。并坚持组织本校获奖选手开展教学示范观摩活动，形成带动效应，推动教师教学能力的全面提高。在2</w:t>
      </w:r>
      <w:r>
        <w:rPr>
          <w:rFonts w:ascii="楷体_GB2312" w:hAnsi="宋体" w:eastAsia="楷体_GB2312" w:cs="Times New Roman"/>
          <w:color w:val="000000" w:themeColor="text1"/>
          <w:kern w:val="0"/>
          <w:sz w:val="24"/>
          <w:szCs w:val="24"/>
        </w:rPr>
        <w:t>022</w:t>
      </w:r>
      <w:r>
        <w:rPr>
          <w:rFonts w:hint="eastAsia" w:ascii="楷体_GB2312" w:hAnsi="宋体" w:eastAsia="楷体_GB2312" w:cs="Times New Roman"/>
          <w:color w:val="000000" w:themeColor="text1"/>
          <w:kern w:val="0"/>
          <w:sz w:val="24"/>
          <w:szCs w:val="24"/>
        </w:rPr>
        <w:t>年江苏省</w:t>
      </w:r>
      <w:bookmarkStart w:id="115" w:name="_Hlk121836567"/>
      <w:bookmarkStart w:id="116" w:name="_Hlk121836495"/>
      <w:r>
        <w:rPr>
          <w:rFonts w:hint="eastAsia" w:ascii="楷体_GB2312" w:hAnsi="宋体" w:eastAsia="楷体_GB2312" w:cs="Times New Roman"/>
          <w:color w:val="000000" w:themeColor="text1"/>
          <w:kern w:val="0"/>
          <w:sz w:val="24"/>
          <w:szCs w:val="24"/>
        </w:rPr>
        <w:t>教师教学能力大赛</w:t>
      </w:r>
      <w:bookmarkEnd w:id="115"/>
      <w:r>
        <w:rPr>
          <w:rFonts w:hint="eastAsia" w:ascii="楷体_GB2312" w:hAnsi="宋体" w:eastAsia="楷体_GB2312" w:cs="Times New Roman"/>
          <w:color w:val="000000" w:themeColor="text1"/>
          <w:kern w:val="0"/>
          <w:sz w:val="24"/>
          <w:szCs w:val="24"/>
        </w:rPr>
        <w:t>中</w:t>
      </w:r>
      <w:bookmarkEnd w:id="116"/>
      <w:r>
        <w:rPr>
          <w:rFonts w:hint="eastAsia" w:ascii="楷体_GB2312" w:hAnsi="宋体" w:eastAsia="楷体_GB2312" w:cs="Times New Roman"/>
          <w:color w:val="000000" w:themeColor="text1"/>
          <w:kern w:val="0"/>
          <w:sz w:val="24"/>
          <w:szCs w:val="24"/>
        </w:rPr>
        <w:t>，该校获得三等奖4项；2</w:t>
      </w:r>
      <w:r>
        <w:rPr>
          <w:rFonts w:ascii="楷体_GB2312" w:hAnsi="宋体" w:eastAsia="楷体_GB2312" w:cs="Times New Roman"/>
          <w:color w:val="000000" w:themeColor="text1"/>
          <w:kern w:val="0"/>
          <w:sz w:val="24"/>
          <w:szCs w:val="24"/>
        </w:rPr>
        <w:t>022</w:t>
      </w:r>
      <w:r>
        <w:rPr>
          <w:rFonts w:hint="eastAsia" w:ascii="楷体_GB2312" w:hAnsi="宋体" w:eastAsia="楷体_GB2312" w:cs="Times New Roman"/>
          <w:color w:val="000000" w:themeColor="text1"/>
          <w:kern w:val="0"/>
          <w:sz w:val="24"/>
          <w:szCs w:val="24"/>
        </w:rPr>
        <w:t>年苏州市教师教学能力大赛中，该校获得一等奖一项，二等奖一项。加之长三角城市职业院校教师教学能力大赛，近三年该校共有</w:t>
      </w:r>
      <w:r>
        <w:rPr>
          <w:rFonts w:ascii="楷体_GB2312" w:hAnsi="宋体" w:eastAsia="楷体_GB2312" w:cs="Times New Roman"/>
          <w:color w:val="000000" w:themeColor="text1"/>
          <w:kern w:val="0"/>
          <w:sz w:val="24"/>
          <w:szCs w:val="24"/>
        </w:rPr>
        <w:t>17</w:t>
      </w:r>
      <w:r>
        <w:rPr>
          <w:rFonts w:hint="eastAsia" w:ascii="楷体_GB2312" w:hAnsi="宋体" w:eastAsia="楷体_GB2312" w:cs="Times New Roman"/>
          <w:color w:val="000000" w:themeColor="text1"/>
          <w:kern w:val="0"/>
          <w:sz w:val="24"/>
          <w:szCs w:val="24"/>
        </w:rPr>
        <w:t>余项获奖。特别是该校的国际商学院勇于探索，成绩突出，先后组织了7支参赛队伍、2</w:t>
      </w:r>
      <w:r>
        <w:rPr>
          <w:rFonts w:ascii="楷体_GB2312" w:hAnsi="宋体" w:eastAsia="楷体_GB2312" w:cs="Times New Roman"/>
          <w:color w:val="000000" w:themeColor="text1"/>
          <w:kern w:val="0"/>
          <w:sz w:val="24"/>
          <w:szCs w:val="24"/>
        </w:rPr>
        <w:t>7</w:t>
      </w:r>
      <w:r>
        <w:rPr>
          <w:rFonts w:hint="eastAsia" w:ascii="楷体_GB2312" w:hAnsi="宋体" w:eastAsia="楷体_GB2312" w:cs="Times New Roman"/>
          <w:color w:val="000000" w:themeColor="text1"/>
          <w:kern w:val="0"/>
          <w:sz w:val="24"/>
          <w:szCs w:val="24"/>
        </w:rPr>
        <w:t>人次、超过6</w:t>
      </w:r>
      <w:r>
        <w:rPr>
          <w:rFonts w:ascii="楷体_GB2312" w:hAnsi="宋体" w:eastAsia="楷体_GB2312" w:cs="Times New Roman"/>
          <w:color w:val="000000" w:themeColor="text1"/>
          <w:kern w:val="0"/>
          <w:sz w:val="24"/>
          <w:szCs w:val="24"/>
        </w:rPr>
        <w:t>0%</w:t>
      </w:r>
      <w:r>
        <w:rPr>
          <w:rFonts w:hint="eastAsia" w:ascii="楷体_GB2312" w:hAnsi="宋体" w:eastAsia="楷体_GB2312" w:cs="Times New Roman"/>
          <w:color w:val="000000" w:themeColor="text1"/>
          <w:kern w:val="0"/>
          <w:sz w:val="24"/>
          <w:szCs w:val="24"/>
        </w:rPr>
        <w:t>的专任教师参加教学能力大赛，其中，5支队伍获得省级三等奖的好成绩（见图2.3）。通过参赛，教师的教学能力得到了综合锻炼，教师的教学设计能力、教学实施能力、教学技术应用能力等都得到了极大提升，同时，教师的教育理念得以更新，团结合作精神、奉献精神得到强化。</w:t>
      </w:r>
    </w:p>
    <w:p>
      <w:pPr>
        <w:jc w:val="center"/>
      </w:pPr>
      <w:r>
        <w:drawing>
          <wp:inline distT="0" distB="0" distL="0" distR="0">
            <wp:extent cx="4733925" cy="301942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4733925" cy="3019425"/>
                    </a:xfrm>
                    <a:prstGeom prst="rect">
                      <a:avLst/>
                    </a:prstGeom>
                    <a:noFill/>
                    <a:ln>
                      <a:noFill/>
                    </a:ln>
                  </pic:spPr>
                </pic:pic>
              </a:graphicData>
            </a:graphic>
          </wp:inline>
        </w:drawing>
      </w:r>
    </w:p>
    <w:p>
      <w:pPr>
        <w:widowControl/>
        <w:spacing w:after="156" w:afterLines="50" w:line="360" w:lineRule="auto"/>
        <w:jc w:val="center"/>
        <w:rPr>
          <w:rFonts w:ascii="仿宋_GB2312" w:eastAsia="仿宋_GB2312"/>
          <w:b/>
          <w:sz w:val="24"/>
          <w:szCs w:val="24"/>
        </w:rPr>
      </w:pPr>
      <w:bookmarkStart w:id="117" w:name="_Hlk124257227"/>
      <w:bookmarkStart w:id="118" w:name="_Toc124169601"/>
      <w:bookmarkStart w:id="119" w:name="_Toc124169691"/>
      <w:bookmarkStart w:id="120" w:name="_Hlk121992793"/>
      <w:r>
        <w:rPr>
          <w:rFonts w:hint="eastAsia" w:ascii="仿宋_GB2312" w:eastAsia="仿宋_GB2312"/>
          <w:b/>
          <w:sz w:val="24"/>
          <w:szCs w:val="24"/>
        </w:rPr>
        <w:t xml:space="preserve">图2. </w:t>
      </w:r>
      <w:r>
        <w:rPr>
          <w:rFonts w:ascii="仿宋_GB2312" w:eastAsia="仿宋_GB2312"/>
          <w:b/>
          <w:sz w:val="24"/>
          <w:szCs w:val="24"/>
        </w:rPr>
        <w:fldChar w:fldCharType="begin"/>
      </w:r>
      <w:r>
        <w:rPr>
          <w:rFonts w:ascii="仿宋_GB2312" w:eastAsia="仿宋_GB2312"/>
          <w:b/>
          <w:sz w:val="24"/>
          <w:szCs w:val="24"/>
        </w:rPr>
        <w:instrText xml:space="preserve"> </w:instrText>
      </w:r>
      <w:r>
        <w:rPr>
          <w:rFonts w:hint="eastAsia" w:ascii="仿宋_GB2312" w:eastAsia="仿宋_GB2312"/>
          <w:b/>
          <w:sz w:val="24"/>
          <w:szCs w:val="24"/>
        </w:rPr>
        <w:instrText xml:space="preserve">SEQ 图2. \* ARABIC</w:instrText>
      </w:r>
      <w:r>
        <w:rPr>
          <w:rFonts w:ascii="仿宋_GB2312" w:eastAsia="仿宋_GB2312"/>
          <w:b/>
          <w:sz w:val="24"/>
          <w:szCs w:val="24"/>
        </w:rPr>
        <w:instrText xml:space="preserve"> </w:instrText>
      </w:r>
      <w:r>
        <w:rPr>
          <w:rFonts w:ascii="仿宋_GB2312" w:eastAsia="仿宋_GB2312"/>
          <w:b/>
          <w:sz w:val="24"/>
          <w:szCs w:val="24"/>
        </w:rPr>
        <w:fldChar w:fldCharType="separate"/>
      </w:r>
      <w:r>
        <w:rPr>
          <w:rFonts w:ascii="仿宋_GB2312" w:eastAsia="仿宋_GB2312"/>
          <w:b/>
          <w:sz w:val="24"/>
          <w:szCs w:val="24"/>
        </w:rPr>
        <w:t>3</w:t>
      </w:r>
      <w:r>
        <w:rPr>
          <w:rFonts w:ascii="仿宋_GB2312" w:eastAsia="仿宋_GB2312"/>
          <w:b/>
          <w:sz w:val="24"/>
          <w:szCs w:val="24"/>
        </w:rPr>
        <w:fldChar w:fldCharType="end"/>
      </w:r>
      <w:bookmarkEnd w:id="117"/>
      <w:r>
        <w:rPr>
          <w:rFonts w:ascii="仿宋_GB2312" w:eastAsia="仿宋_GB2312"/>
          <w:b/>
          <w:sz w:val="24"/>
          <w:szCs w:val="24"/>
        </w:rPr>
        <w:t xml:space="preserve"> “</w:t>
      </w:r>
      <w:r>
        <w:rPr>
          <w:rFonts w:hint="eastAsia" w:ascii="仿宋_GB2312" w:eastAsia="仿宋_GB2312"/>
          <w:b/>
          <w:sz w:val="24"/>
          <w:szCs w:val="24"/>
        </w:rPr>
        <w:t>以赛促教</w:t>
      </w:r>
      <w:r>
        <w:rPr>
          <w:rFonts w:ascii="仿宋_GB2312" w:eastAsia="仿宋_GB2312"/>
          <w:b/>
          <w:sz w:val="24"/>
          <w:szCs w:val="24"/>
        </w:rPr>
        <w:t>”</w:t>
      </w:r>
      <w:r>
        <w:rPr>
          <w:rFonts w:hint="eastAsia" w:ascii="仿宋_GB2312" w:eastAsia="仿宋_GB2312"/>
          <w:b/>
          <w:sz w:val="24"/>
          <w:szCs w:val="24"/>
        </w:rPr>
        <w:t>教学剪影</w:t>
      </w:r>
      <w:bookmarkEnd w:id="118"/>
      <w:bookmarkEnd w:id="119"/>
    </w:p>
    <w:bookmarkEnd w:id="120"/>
    <w:p>
      <w:pPr>
        <w:pStyle w:val="3"/>
        <w:spacing w:before="0" w:after="0" w:line="360" w:lineRule="auto"/>
        <w:ind w:firstLine="562" w:firstLineChars="200"/>
        <w:rPr>
          <w:rFonts w:ascii="仿宋_GB2312" w:eastAsia="仿宋_GB2312" w:hAnsiTheme="minorEastAsia"/>
          <w:sz w:val="28"/>
          <w:szCs w:val="28"/>
        </w:rPr>
      </w:pPr>
      <w:bookmarkStart w:id="121" w:name="_Toc124087886"/>
      <w:bookmarkStart w:id="122" w:name="_Toc500492295"/>
      <w:bookmarkStart w:id="123" w:name="_Toc532826555"/>
      <w:bookmarkStart w:id="124" w:name="_Toc533519406"/>
      <w:r>
        <w:rPr>
          <w:rFonts w:hint="eastAsia" w:ascii="仿宋_GB2312" w:eastAsia="仿宋_GB2312" w:hAnsiTheme="minorEastAsia"/>
          <w:sz w:val="28"/>
          <w:szCs w:val="28"/>
        </w:rPr>
        <w:t>2</w:t>
      </w:r>
      <w:r>
        <w:rPr>
          <w:rFonts w:ascii="仿宋_GB2312" w:eastAsia="仿宋_GB2312" w:hAnsiTheme="minorEastAsia"/>
          <w:sz w:val="28"/>
          <w:szCs w:val="28"/>
        </w:rPr>
        <w:t>.2在线教学</w:t>
      </w:r>
      <w:bookmarkEnd w:id="121"/>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有效应对新冠疫情的影响，在2</w:t>
      </w:r>
      <w:r>
        <w:rPr>
          <w:rFonts w:ascii="仿宋" w:hAnsi="仿宋" w:eastAsia="仿宋"/>
          <w:sz w:val="28"/>
          <w:szCs w:val="28"/>
        </w:rPr>
        <w:t>020</w:t>
      </w:r>
      <w:r>
        <w:rPr>
          <w:rFonts w:hint="eastAsia" w:ascii="仿宋" w:hAnsi="仿宋" w:eastAsia="仿宋"/>
          <w:sz w:val="28"/>
          <w:szCs w:val="28"/>
        </w:rPr>
        <w:t>年延期开学期间根据省教育厅文件要求该校开展了1</w:t>
      </w:r>
      <w:r>
        <w:rPr>
          <w:rFonts w:ascii="仿宋" w:hAnsi="仿宋" w:eastAsia="仿宋"/>
          <w:sz w:val="28"/>
          <w:szCs w:val="28"/>
        </w:rPr>
        <w:t>0</w:t>
      </w:r>
      <w:r>
        <w:rPr>
          <w:rFonts w:hint="eastAsia" w:ascii="仿宋" w:hAnsi="仿宋" w:eastAsia="仿宋"/>
          <w:sz w:val="28"/>
          <w:szCs w:val="28"/>
        </w:rPr>
        <w:t>周在线教学工作。本学年因新冠疫情的干扰，学校不得已在两个学期初，先后开展了4周和12周的师生居家全员在线教学。该校坚持认为：线上与线下的教学仅是形式不同，其目标与质量要求相同，必须考虑学情，符合学生的学习规律和线上教学的运行规律，追求学生学习的实际效果和成果，努力呈现真正符合学生实情并且能获实效的虚拟课堂和线上教学。重视学生在线教学调研，了解其在线学习的现状，发现、分析并解决其具体问题；同时实现有效反馈的闭环，把在线教学探索中的有效改进转化为具体教学成效。并对2020年年初应急制定的“苏州高博软件技术职业学院线上教学督导督查意见”作了及时修订，以便有效规范该校在线教学运行管理和教学进程中的师生教学行为，对兼顾不能返校学生的课堂教学也作了规范与约定。</w:t>
      </w:r>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本学年在线教学教师的授课课表同线下课堂相一致，仅是对完全实践性的C类课程作了延期调整。具体的在线教学主要采取通过“超星平台一平三端+腾讯会议”开展线上直播；或者通过专业在线教育平台如“智慧职教”、“腾讯课堂”等平台和工具直播授课。第二学期的在线授课时间作了适当优化，进一步加强了在线教学的督导监查和质量管控工作。把在线听课评教记录表和课堂听课评教记录表进行了区分并进一步优化。听课记录表内容嵌入到超星“学习通”A</w:t>
      </w:r>
      <w:r>
        <w:rPr>
          <w:rFonts w:ascii="仿宋" w:hAnsi="仿宋" w:eastAsia="仿宋"/>
          <w:sz w:val="28"/>
          <w:szCs w:val="28"/>
        </w:rPr>
        <w:t>PP</w:t>
      </w:r>
      <w:r>
        <w:rPr>
          <w:rFonts w:hint="eastAsia" w:ascii="仿宋" w:hAnsi="仿宋" w:eastAsia="仿宋"/>
          <w:sz w:val="28"/>
          <w:szCs w:val="28"/>
        </w:rPr>
        <w:t>，实现了电脑端听课，手机端评课。</w:t>
      </w:r>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在具体的运行管理和质量监查中，重视“严格管理，友情提醒，快速反馈，及时总结，持续改进，突出典范，传播经验”（见案例5）。从</w:t>
      </w:r>
      <w:r>
        <w:rPr>
          <w:rFonts w:ascii="仿宋" w:hAnsi="仿宋" w:eastAsia="仿宋"/>
          <w:sz w:val="28"/>
          <w:szCs w:val="28"/>
        </w:rPr>
        <w:t>启动在线教学督导和“征集该校在线教学应用建议及成果”的通知</w:t>
      </w:r>
      <w:r>
        <w:rPr>
          <w:rFonts w:hint="eastAsia" w:ascii="仿宋" w:hAnsi="仿宋" w:eastAsia="仿宋"/>
          <w:sz w:val="28"/>
          <w:szCs w:val="28"/>
        </w:rPr>
        <w:t>到关于“该校课堂教学督导督查从线上转入线下和</w:t>
      </w:r>
      <w:r>
        <w:rPr>
          <w:rFonts w:ascii="仿宋" w:hAnsi="仿宋" w:eastAsia="仿宋"/>
          <w:sz w:val="28"/>
          <w:szCs w:val="28"/>
        </w:rPr>
        <w:t>报送该校在线教学应用成果”</w:t>
      </w:r>
      <w:r>
        <w:rPr>
          <w:rFonts w:hint="eastAsia" w:ascii="仿宋" w:hAnsi="仿宋" w:eastAsia="仿宋"/>
          <w:sz w:val="28"/>
          <w:szCs w:val="28"/>
        </w:rPr>
        <w:t>的通知，在线教学督导督查信息反馈与通报从单州到双周；一级督导在线查课评教对象从本院到全校；发布通知和工作提醒9次，在一级、二级督导组的周报反馈基础上发布在线教学通报8次，重视先进事例和共性问题的发现与解决，使之在线教学运行有效推进。召开了一、二级督导共同参加的“学期教学督导工作会议”，形成本学期在线教学督导工作要点；召开了一级督导为主的“在线教学质量管理交流会”，发布了“针对教师与学生的两个端，做好在线教学的‘通’、快’、‘多’”报告。即：教师要努力按照在线教学规律，结合学情和个人实际在“线下课堂搬到线上”和“全程教学过多视频”的两个极端中做到最佳权衡，切实提高课堂有效性；通过齐抓共管，突破学生在线学习管理难题的同时，促进学生提升其在线学习的自觉和自律；相关信息直通授课教师和学生个体，快速发现问题并及时解决，多给师生正向激励，激发主体动力。在充分认识在线教学复杂性的基础上，高度关注教师在线教学能力的提升和创新在线教学运行的管理水平。</w:t>
      </w:r>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 xml:space="preserve"> </w:t>
      </w:r>
    </w:p>
    <w:p>
      <w:pPr>
        <w:adjustRightInd w:val="0"/>
        <w:snapToGrid w:val="0"/>
        <w:spacing w:line="360" w:lineRule="auto"/>
        <w:ind w:firstLine="482" w:firstLineChars="200"/>
        <w:outlineLvl w:val="2"/>
        <w:rPr>
          <w:rFonts w:ascii="仿宋_GB2312" w:hAnsi="宋体" w:eastAsia="仿宋_GB2312"/>
          <w:b/>
          <w:color w:val="000000" w:themeColor="text1"/>
          <w:sz w:val="24"/>
          <w:szCs w:val="24"/>
        </w:rPr>
      </w:pPr>
      <w:bookmarkStart w:id="125" w:name="_Toc124087887"/>
      <w:bookmarkStart w:id="126" w:name="_Toc119932699"/>
      <w:r>
        <w:rPr>
          <w:rFonts w:hint="eastAsia" w:ascii="仿宋_GB2312" w:hAnsi="宋体" w:eastAsia="仿宋_GB2312"/>
          <w:b/>
          <w:color w:val="000000" w:themeColor="text1"/>
          <w:sz w:val="24"/>
          <w:szCs w:val="24"/>
        </w:rPr>
        <w:t>案例</w:t>
      </w:r>
      <w:r>
        <w:rPr>
          <w:rFonts w:ascii="仿宋_GB2312" w:hAnsi="宋体" w:eastAsia="仿宋_GB2312"/>
          <w:b/>
          <w:color w:val="000000" w:themeColor="text1"/>
          <w:sz w:val="24"/>
          <w:szCs w:val="24"/>
        </w:rPr>
        <w:t>5</w:t>
      </w:r>
      <w:r>
        <w:rPr>
          <w:rFonts w:hint="eastAsia" w:ascii="仿宋_GB2312" w:hAnsi="宋体" w:eastAsia="仿宋_GB2312"/>
          <w:b/>
          <w:color w:val="000000" w:themeColor="text1"/>
          <w:sz w:val="24"/>
          <w:szCs w:val="24"/>
        </w:rPr>
        <w:t>【学校组织的在线教学成果征集活动】</w:t>
      </w:r>
      <w:bookmarkEnd w:id="125"/>
      <w:bookmarkEnd w:id="126"/>
    </w:p>
    <w:p>
      <w:pPr>
        <w:widowControl/>
        <w:spacing w:line="360" w:lineRule="auto"/>
        <w:ind w:firstLine="480" w:firstLineChars="200"/>
        <w:rPr>
          <w:rFonts w:ascii="楷体_GB2312" w:hAnsi="宋体" w:eastAsia="楷体_GB2312" w:cs="Times New Roman"/>
          <w:color w:val="000000" w:themeColor="text1"/>
          <w:kern w:val="0"/>
          <w:sz w:val="24"/>
          <w:szCs w:val="24"/>
        </w:rPr>
      </w:pPr>
      <w:r>
        <w:rPr>
          <w:rFonts w:hint="eastAsia" w:ascii="楷体_GB2312" w:hAnsi="宋体" w:eastAsia="楷体_GB2312" w:cs="Times New Roman"/>
          <w:color w:val="000000" w:themeColor="text1"/>
          <w:kern w:val="0"/>
          <w:sz w:val="24"/>
          <w:szCs w:val="24"/>
        </w:rPr>
        <w:t>2</w:t>
      </w:r>
      <w:r>
        <w:rPr>
          <w:rFonts w:ascii="楷体_GB2312" w:hAnsi="宋体" w:eastAsia="楷体_GB2312" w:cs="Times New Roman"/>
          <w:color w:val="000000" w:themeColor="text1"/>
          <w:kern w:val="0"/>
          <w:sz w:val="24"/>
          <w:szCs w:val="24"/>
        </w:rPr>
        <w:t>021—2022</w:t>
      </w:r>
      <w:r>
        <w:rPr>
          <w:rFonts w:hint="eastAsia" w:ascii="楷体_GB2312" w:hAnsi="宋体" w:eastAsia="楷体_GB2312" w:cs="Times New Roman"/>
          <w:color w:val="000000" w:themeColor="text1"/>
          <w:kern w:val="0"/>
          <w:sz w:val="24"/>
          <w:szCs w:val="24"/>
        </w:rPr>
        <w:t>学年，因新冠疫情的干扰，学校不得已在两个学期，先后开展了4周和1</w:t>
      </w:r>
      <w:r>
        <w:rPr>
          <w:rFonts w:ascii="楷体_GB2312" w:hAnsi="宋体" w:eastAsia="楷体_GB2312" w:cs="Times New Roman"/>
          <w:color w:val="000000" w:themeColor="text1"/>
          <w:kern w:val="0"/>
          <w:sz w:val="24"/>
          <w:szCs w:val="24"/>
        </w:rPr>
        <w:t>2</w:t>
      </w:r>
      <w:r>
        <w:rPr>
          <w:rFonts w:hint="eastAsia" w:ascii="楷体_GB2312" w:hAnsi="宋体" w:eastAsia="楷体_GB2312" w:cs="Times New Roman"/>
          <w:color w:val="000000" w:themeColor="text1"/>
          <w:kern w:val="0"/>
          <w:sz w:val="24"/>
          <w:szCs w:val="24"/>
        </w:rPr>
        <w:t>周的全员在线教学。为了保证教学质量，全面调动各教学单位和任课教师的在线教学积极性与创造性，该校在高调督查、反馈并通报信息的同时，全过程开展 “征集品评选在线教学特色案例”和“征集在线教学应用建议及成果”活动，从在线教学特色案例到在线教学应用成果，吸引关注，营造氛围；激发斗志，探索规律，推进学校在线教学管理及教师在线教学能力提升和成效改进。重视反思，做好总结，获取持续成长与进步。从人文社会科学学院的“以英语专业教学管理为例的在线教学管理经验”和医学与公共服务学院“及时调整线上教学任务，强化线上教学能力培训”的管理案例到国际商学院的“一、二级督导共同努力，重视教师在线教学指导”和</w:t>
      </w:r>
      <w:r>
        <w:rPr>
          <w:rFonts w:ascii="楷体_GB2312" w:hAnsi="宋体" w:eastAsia="楷体_GB2312" w:cs="Times New Roman"/>
          <w:color w:val="000000" w:themeColor="text1"/>
          <w:kern w:val="0"/>
          <w:sz w:val="24"/>
          <w:szCs w:val="24"/>
        </w:rPr>
        <w:t>艺术与建筑学院</w:t>
      </w:r>
      <w:r>
        <w:rPr>
          <w:rFonts w:hint="eastAsia" w:ascii="楷体_GB2312" w:hAnsi="宋体" w:eastAsia="楷体_GB2312" w:cs="Times New Roman"/>
          <w:color w:val="000000" w:themeColor="text1"/>
          <w:kern w:val="0"/>
          <w:sz w:val="24"/>
          <w:szCs w:val="24"/>
        </w:rPr>
        <w:t>的“</w:t>
      </w:r>
      <w:r>
        <w:rPr>
          <w:rFonts w:ascii="楷体_GB2312" w:hAnsi="宋体" w:eastAsia="楷体_GB2312" w:cs="Times New Roman"/>
          <w:color w:val="000000" w:themeColor="text1"/>
          <w:kern w:val="0"/>
          <w:sz w:val="24"/>
          <w:szCs w:val="24"/>
        </w:rPr>
        <w:t>一日一报一跟进筑牢在线学生管理</w:t>
      </w:r>
      <w:r>
        <w:rPr>
          <w:rFonts w:hint="eastAsia" w:ascii="楷体_GB2312" w:hAnsi="宋体" w:eastAsia="楷体_GB2312" w:cs="Times New Roman"/>
          <w:color w:val="000000" w:themeColor="text1"/>
          <w:kern w:val="0"/>
          <w:sz w:val="24"/>
          <w:szCs w:val="24"/>
        </w:rPr>
        <w:t>”的监查经验；从张薇老师的“《界面与交互设计》与《视觉传播设计与制作专业项目实践课程》课程在线教学实践”特色案例到</w:t>
      </w:r>
      <w:r>
        <w:rPr>
          <w:rFonts w:ascii="楷体_GB2312" w:hAnsi="宋体" w:eastAsia="楷体_GB2312" w:cs="Times New Roman"/>
          <w:color w:val="000000" w:themeColor="text1"/>
          <w:kern w:val="0"/>
          <w:sz w:val="24"/>
          <w:szCs w:val="24"/>
        </w:rPr>
        <w:t>谢媔媔老师的</w:t>
      </w:r>
      <w:r>
        <w:rPr>
          <w:rFonts w:hint="eastAsia" w:ascii="楷体_GB2312" w:hAnsi="宋体" w:eastAsia="楷体_GB2312" w:cs="Times New Roman"/>
          <w:color w:val="000000" w:themeColor="text1"/>
          <w:kern w:val="0"/>
          <w:sz w:val="24"/>
          <w:szCs w:val="24"/>
        </w:rPr>
        <w:t>“</w:t>
      </w:r>
      <w:r>
        <w:rPr>
          <w:rFonts w:ascii="楷体_GB2312" w:hAnsi="宋体" w:eastAsia="楷体_GB2312" w:cs="Times New Roman"/>
          <w:color w:val="000000" w:themeColor="text1"/>
          <w:kern w:val="0"/>
          <w:sz w:val="24"/>
          <w:szCs w:val="24"/>
        </w:rPr>
        <w:t>体育课程</w:t>
      </w:r>
      <w:r>
        <w:rPr>
          <w:rFonts w:hint="eastAsia" w:ascii="楷体_GB2312" w:hAnsi="宋体" w:eastAsia="楷体_GB2312" w:cs="Times New Roman"/>
          <w:color w:val="000000" w:themeColor="text1"/>
          <w:kern w:val="0"/>
          <w:sz w:val="24"/>
          <w:szCs w:val="24"/>
        </w:rPr>
        <w:t>的</w:t>
      </w:r>
      <w:r>
        <w:rPr>
          <w:rFonts w:ascii="楷体_GB2312" w:hAnsi="宋体" w:eastAsia="楷体_GB2312" w:cs="Times New Roman"/>
          <w:color w:val="000000" w:themeColor="text1"/>
          <w:kern w:val="0"/>
          <w:sz w:val="24"/>
          <w:szCs w:val="24"/>
        </w:rPr>
        <w:t>在线教学实践与体悟</w:t>
      </w:r>
      <w:r>
        <w:rPr>
          <w:rFonts w:hint="eastAsia" w:ascii="楷体_GB2312" w:hAnsi="宋体" w:eastAsia="楷体_GB2312" w:cs="Times New Roman"/>
          <w:color w:val="000000" w:themeColor="text1"/>
          <w:kern w:val="0"/>
          <w:sz w:val="24"/>
          <w:szCs w:val="24"/>
        </w:rPr>
        <w:t>”教学应用</w:t>
      </w:r>
      <w:r>
        <w:rPr>
          <w:rFonts w:ascii="楷体_GB2312" w:hAnsi="宋体" w:eastAsia="楷体_GB2312" w:cs="Times New Roman"/>
          <w:color w:val="000000" w:themeColor="text1"/>
          <w:kern w:val="0"/>
          <w:sz w:val="24"/>
          <w:szCs w:val="24"/>
        </w:rPr>
        <w:t>等</w:t>
      </w:r>
      <w:r>
        <w:rPr>
          <w:rFonts w:hint="eastAsia" w:ascii="楷体_GB2312" w:hAnsi="宋体" w:eastAsia="楷体_GB2312" w:cs="Times New Roman"/>
          <w:color w:val="000000" w:themeColor="text1"/>
          <w:kern w:val="0"/>
          <w:sz w:val="24"/>
          <w:szCs w:val="24"/>
        </w:rPr>
        <w:t>等，各二级学院及教师对其在线教学的运行与管理，学生在线学习及管理，理实一体课程甚至实训课程的在线教学实践等难点问题进行探索，</w:t>
      </w:r>
      <w:r>
        <w:rPr>
          <w:rFonts w:ascii="楷体_GB2312" w:hAnsi="宋体" w:eastAsia="楷体_GB2312" w:cs="Times New Roman"/>
          <w:color w:val="000000" w:themeColor="text1"/>
          <w:kern w:val="0"/>
          <w:sz w:val="24"/>
          <w:szCs w:val="24"/>
        </w:rPr>
        <w:t>奉献</w:t>
      </w:r>
      <w:r>
        <w:rPr>
          <w:rFonts w:hint="eastAsia" w:ascii="楷体_GB2312" w:hAnsi="宋体" w:eastAsia="楷体_GB2312" w:cs="Times New Roman"/>
          <w:color w:val="000000" w:themeColor="text1"/>
          <w:kern w:val="0"/>
          <w:sz w:val="24"/>
          <w:szCs w:val="24"/>
        </w:rPr>
        <w:t>了</w:t>
      </w:r>
      <w:r>
        <w:rPr>
          <w:rFonts w:ascii="楷体_GB2312" w:hAnsi="宋体" w:eastAsia="楷体_GB2312" w:cs="Times New Roman"/>
          <w:color w:val="000000" w:themeColor="text1"/>
          <w:kern w:val="0"/>
          <w:sz w:val="24"/>
          <w:szCs w:val="24"/>
        </w:rPr>
        <w:t>宝</w:t>
      </w:r>
      <w:r>
        <w:rPr>
          <w:rFonts w:hint="eastAsia" w:ascii="楷体_GB2312" w:hAnsi="宋体" w:eastAsia="楷体_GB2312" w:cs="Times New Roman"/>
          <w:color w:val="000000" w:themeColor="text1"/>
          <w:kern w:val="0"/>
          <w:sz w:val="24"/>
          <w:szCs w:val="24"/>
        </w:rPr>
        <w:t>贵的经验。</w:t>
      </w:r>
    </w:p>
    <w:p>
      <w:pPr>
        <w:widowControl/>
        <w:spacing w:line="360" w:lineRule="auto"/>
        <w:ind w:firstLine="480" w:firstLineChars="200"/>
        <w:rPr>
          <w:rFonts w:ascii="楷体_GB2312" w:hAnsi="宋体" w:eastAsia="楷体_GB2312" w:cs="Times New Roman"/>
          <w:color w:val="000000" w:themeColor="text1"/>
          <w:kern w:val="0"/>
          <w:sz w:val="24"/>
          <w:szCs w:val="24"/>
        </w:rPr>
      </w:pPr>
    </w:p>
    <w:p>
      <w:pPr>
        <w:pStyle w:val="3"/>
        <w:spacing w:before="0" w:after="0" w:line="360" w:lineRule="auto"/>
        <w:ind w:firstLine="562" w:firstLineChars="200"/>
        <w:rPr>
          <w:rFonts w:ascii="仿宋_GB2312" w:eastAsia="仿宋_GB2312" w:hAnsiTheme="minorEastAsia"/>
          <w:sz w:val="28"/>
          <w:szCs w:val="28"/>
        </w:rPr>
      </w:pPr>
      <w:bookmarkStart w:id="127" w:name="_Toc124087888"/>
      <w:r>
        <w:rPr>
          <w:rFonts w:hint="eastAsia" w:ascii="仿宋_GB2312" w:eastAsia="仿宋_GB2312" w:hAnsiTheme="minorEastAsia"/>
          <w:sz w:val="28"/>
          <w:szCs w:val="28"/>
        </w:rPr>
        <w:t>2</w:t>
      </w:r>
      <w:r>
        <w:rPr>
          <w:rFonts w:ascii="仿宋_GB2312" w:eastAsia="仿宋_GB2312" w:hAnsiTheme="minorEastAsia"/>
          <w:sz w:val="28"/>
          <w:szCs w:val="28"/>
        </w:rPr>
        <w:t>.</w:t>
      </w:r>
      <w:r>
        <w:rPr>
          <w:rFonts w:hint="eastAsia" w:ascii="仿宋_GB2312" w:eastAsia="仿宋_GB2312" w:hAnsiTheme="minorEastAsia"/>
          <w:sz w:val="28"/>
          <w:szCs w:val="28"/>
        </w:rPr>
        <w:t>3专业建设</w:t>
      </w:r>
      <w:bookmarkEnd w:id="122"/>
      <w:bookmarkEnd w:id="123"/>
      <w:bookmarkEnd w:id="124"/>
      <w:bookmarkEnd w:id="127"/>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学校瞄准区域经济需要与产业转型升级的现实，坚持专业向高端提升、技术向前沿和市场需求贴近、专业开发向高新领域和资源有效使用拓展的理念，在修订专业人才培养方案的同时，围绕产业变动进一步优化专业结构与布局，保持专业课程的科学性、先进性、规范性和实用性，能与国家职业标准对接。 本学年根据教育部“关于印发《职业教育专业目录（2021年）》的通知”、“职业教育专业简介（2</w:t>
      </w:r>
      <w:r>
        <w:rPr>
          <w:rFonts w:ascii="仿宋" w:hAnsi="仿宋" w:eastAsia="仿宋"/>
          <w:sz w:val="28"/>
          <w:szCs w:val="28"/>
        </w:rPr>
        <w:t>022</w:t>
      </w:r>
      <w:r>
        <w:rPr>
          <w:rFonts w:hint="eastAsia" w:ascii="仿宋" w:hAnsi="仿宋" w:eastAsia="仿宋"/>
          <w:sz w:val="28"/>
          <w:szCs w:val="28"/>
        </w:rPr>
        <w:t>年修订）”和“省教育厅关于做好2021年职业院校拟招生专业设置管理工作的通知”文件精神，进一步对现行专业进行了优化。目前实际招生专业</w:t>
      </w:r>
      <w:r>
        <w:rPr>
          <w:rFonts w:ascii="仿宋" w:hAnsi="仿宋" w:eastAsia="仿宋"/>
          <w:sz w:val="28"/>
          <w:szCs w:val="28"/>
        </w:rPr>
        <w:t>38</w:t>
      </w:r>
      <w:r>
        <w:rPr>
          <w:rFonts w:hint="eastAsia" w:ascii="仿宋" w:hAnsi="仿宋" w:eastAsia="仿宋"/>
          <w:sz w:val="28"/>
          <w:szCs w:val="28"/>
        </w:rPr>
        <w:t xml:space="preserve">个（见表2.1），基本覆盖高新区以及苏州全市的软件技术、高端制造、民间艺术、旅游酒店等主要重点产业和优势产业。 </w:t>
      </w:r>
    </w:p>
    <w:p>
      <w:pPr>
        <w:adjustRightInd w:val="0"/>
        <w:snapToGrid w:val="0"/>
        <w:spacing w:line="360" w:lineRule="auto"/>
        <w:jc w:val="center"/>
        <w:rPr>
          <w:rFonts w:ascii="仿宋_GB2312" w:eastAsia="仿宋_GB2312" w:hAnsiTheme="minorEastAsia"/>
          <w:b/>
          <w:sz w:val="24"/>
          <w:szCs w:val="24"/>
        </w:rPr>
      </w:pPr>
      <w:bookmarkStart w:id="128" w:name="_Toc124170642"/>
      <w:bookmarkStart w:id="129" w:name="_Hlk121992816"/>
      <w:r>
        <w:rPr>
          <w:rFonts w:hint="eastAsia" w:ascii="仿宋_GB2312" w:eastAsia="仿宋_GB2312" w:hAnsiTheme="minorEastAsia"/>
          <w:b/>
          <w:sz w:val="24"/>
          <w:szCs w:val="24"/>
        </w:rPr>
        <w:t xml:space="preserve">表2. </w:t>
      </w:r>
      <w:r>
        <w:rPr>
          <w:rFonts w:ascii="仿宋_GB2312" w:eastAsia="仿宋_GB2312" w:hAnsiTheme="minorEastAsia"/>
          <w:b/>
          <w:sz w:val="24"/>
          <w:szCs w:val="24"/>
        </w:rPr>
        <w:fldChar w:fldCharType="begin"/>
      </w:r>
      <w:r>
        <w:rPr>
          <w:rFonts w:ascii="仿宋_GB2312" w:eastAsia="仿宋_GB2312" w:hAnsiTheme="minorEastAsia"/>
          <w:b/>
          <w:sz w:val="24"/>
          <w:szCs w:val="24"/>
        </w:rPr>
        <w:instrText xml:space="preserve"> </w:instrText>
      </w:r>
      <w:r>
        <w:rPr>
          <w:rFonts w:hint="eastAsia" w:ascii="仿宋_GB2312" w:eastAsia="仿宋_GB2312" w:hAnsiTheme="minorEastAsia"/>
          <w:b/>
          <w:sz w:val="24"/>
          <w:szCs w:val="24"/>
        </w:rPr>
        <w:instrText xml:space="preserve">SEQ 表2. \* ARABIC</w:instrText>
      </w:r>
      <w:r>
        <w:rPr>
          <w:rFonts w:ascii="仿宋_GB2312" w:eastAsia="仿宋_GB2312" w:hAnsiTheme="minorEastAsia"/>
          <w:b/>
          <w:sz w:val="24"/>
          <w:szCs w:val="24"/>
        </w:rPr>
        <w:instrText xml:space="preserve"> </w:instrText>
      </w:r>
      <w:r>
        <w:rPr>
          <w:rFonts w:ascii="仿宋_GB2312" w:eastAsia="仿宋_GB2312" w:hAnsiTheme="minorEastAsia"/>
          <w:b/>
          <w:sz w:val="24"/>
          <w:szCs w:val="24"/>
        </w:rPr>
        <w:fldChar w:fldCharType="separate"/>
      </w:r>
      <w:r>
        <w:rPr>
          <w:rFonts w:ascii="仿宋_GB2312" w:eastAsia="仿宋_GB2312" w:hAnsiTheme="minorEastAsia"/>
          <w:b/>
          <w:sz w:val="24"/>
          <w:szCs w:val="24"/>
        </w:rPr>
        <w:t>1</w:t>
      </w:r>
      <w:r>
        <w:rPr>
          <w:rFonts w:ascii="仿宋_GB2312" w:eastAsia="仿宋_GB2312" w:hAnsiTheme="minorEastAsia"/>
          <w:b/>
          <w:sz w:val="24"/>
          <w:szCs w:val="24"/>
        </w:rPr>
        <w:fldChar w:fldCharType="end"/>
      </w:r>
      <w:r>
        <w:rPr>
          <w:rFonts w:ascii="仿宋_GB2312" w:eastAsia="仿宋_GB2312" w:hAnsiTheme="minorEastAsia"/>
          <w:b/>
          <w:sz w:val="24"/>
          <w:szCs w:val="24"/>
        </w:rPr>
        <w:t xml:space="preserve">  2022</w:t>
      </w:r>
      <w:r>
        <w:rPr>
          <w:rFonts w:hint="eastAsia" w:ascii="仿宋_GB2312" w:eastAsia="仿宋_GB2312" w:hAnsiTheme="minorEastAsia"/>
          <w:b/>
          <w:sz w:val="24"/>
          <w:szCs w:val="24"/>
        </w:rPr>
        <w:t>年招生专业一览表</w:t>
      </w:r>
      <w:bookmarkEnd w:id="128"/>
    </w:p>
    <w:bookmarkEnd w:id="129"/>
    <w:tbl>
      <w:tblPr>
        <w:tblStyle w:val="62"/>
        <w:tblW w:w="5176" w:type="pct"/>
        <w:jc w:val="center"/>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Layout w:type="fixed"/>
        <w:tblCellMar>
          <w:top w:w="0" w:type="dxa"/>
          <w:left w:w="108" w:type="dxa"/>
          <w:bottom w:w="0" w:type="dxa"/>
          <w:right w:w="108" w:type="dxa"/>
        </w:tblCellMar>
      </w:tblPr>
      <w:tblGrid>
        <w:gridCol w:w="671"/>
        <w:gridCol w:w="2128"/>
        <w:gridCol w:w="1088"/>
        <w:gridCol w:w="2336"/>
        <w:gridCol w:w="1508"/>
        <w:gridCol w:w="2471"/>
      </w:tblGrid>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tblHeader/>
          <w:jc w:val="center"/>
        </w:trPr>
        <w:tc>
          <w:tcPr>
            <w:tcW w:w="329" w:type="pct"/>
            <w:tcBorders>
              <w:top w:val="single" w:color="4F81BD" w:sz="8" w:space="0"/>
              <w:left w:val="single" w:color="4F81BD" w:sz="8" w:space="0"/>
              <w:bottom w:val="single" w:color="FFFFFF" w:sz="18" w:space="0"/>
              <w:right w:val="nil"/>
              <w:insideV w:val="nil"/>
            </w:tcBorders>
            <w:shd w:val="clear" w:color="auto" w:fill="4F81BD"/>
            <w:noWrap/>
            <w:vAlign w:val="center"/>
          </w:tcPr>
          <w:p>
            <w:pPr>
              <w:widowControl/>
              <w:jc w:val="center"/>
              <w:rPr>
                <w:rFonts w:ascii="仿宋" w:hAnsi="仿宋" w:eastAsia="仿宋" w:cs="宋体"/>
                <w:b/>
                <w:bCs/>
                <w:color w:val="FFFFFF"/>
                <w:kern w:val="0"/>
                <w:sz w:val="24"/>
                <w:szCs w:val="24"/>
              </w:rPr>
            </w:pPr>
            <w:r>
              <w:rPr>
                <w:rFonts w:hint="eastAsia" w:ascii="仿宋" w:hAnsi="仿宋" w:eastAsia="仿宋" w:cs="宋体"/>
                <w:b/>
                <w:bCs/>
                <w:color w:val="FFFFFF"/>
                <w:kern w:val="0"/>
                <w:sz w:val="24"/>
                <w:szCs w:val="24"/>
              </w:rPr>
              <w:t>序号</w:t>
            </w:r>
          </w:p>
        </w:tc>
        <w:tc>
          <w:tcPr>
            <w:tcW w:w="1043" w:type="pct"/>
            <w:tcBorders>
              <w:top w:val="single" w:color="4F81BD" w:sz="8" w:space="0"/>
              <w:left w:val="single" w:color="4F81BD" w:sz="8" w:space="0"/>
              <w:bottom w:val="single" w:color="FFFFFF" w:sz="18" w:space="0"/>
              <w:right w:val="nil"/>
              <w:insideV w:val="nil"/>
            </w:tcBorders>
            <w:shd w:val="clear" w:color="auto" w:fill="4F81BD"/>
            <w:noWrap/>
            <w:vAlign w:val="center"/>
          </w:tcPr>
          <w:p>
            <w:pPr>
              <w:widowControl/>
              <w:jc w:val="center"/>
              <w:rPr>
                <w:rFonts w:ascii="仿宋" w:hAnsi="仿宋" w:eastAsia="仿宋" w:cs="宋体"/>
                <w:b/>
                <w:bCs/>
                <w:color w:val="FFFFFF"/>
                <w:kern w:val="0"/>
                <w:sz w:val="24"/>
                <w:szCs w:val="24"/>
              </w:rPr>
            </w:pPr>
            <w:r>
              <w:rPr>
                <w:rFonts w:hint="eastAsia" w:ascii="仿宋" w:hAnsi="仿宋" w:eastAsia="仿宋" w:cs="宋体"/>
                <w:b/>
                <w:bCs/>
                <w:color w:val="FFFFFF"/>
                <w:kern w:val="0"/>
                <w:sz w:val="24"/>
                <w:szCs w:val="24"/>
              </w:rPr>
              <w:t>所属学院</w:t>
            </w:r>
          </w:p>
        </w:tc>
        <w:tc>
          <w:tcPr>
            <w:tcW w:w="533" w:type="pct"/>
            <w:tcBorders>
              <w:top w:val="single" w:color="4F81BD" w:sz="8" w:space="0"/>
              <w:left w:val="single" w:color="4F81BD" w:sz="8" w:space="0"/>
              <w:bottom w:val="single" w:color="FFFFFF" w:sz="18" w:space="0"/>
              <w:right w:val="nil"/>
              <w:insideV w:val="nil"/>
            </w:tcBorders>
            <w:shd w:val="clear" w:color="auto" w:fill="4F81BD"/>
            <w:noWrap/>
            <w:vAlign w:val="center"/>
          </w:tcPr>
          <w:p>
            <w:pPr>
              <w:widowControl/>
              <w:jc w:val="center"/>
              <w:rPr>
                <w:rFonts w:ascii="仿宋" w:hAnsi="仿宋" w:eastAsia="仿宋" w:cs="宋体"/>
                <w:b/>
                <w:bCs/>
                <w:color w:val="FFFFFF"/>
                <w:kern w:val="0"/>
                <w:sz w:val="24"/>
                <w:szCs w:val="24"/>
              </w:rPr>
            </w:pPr>
            <w:r>
              <w:rPr>
                <w:rFonts w:hint="eastAsia" w:ascii="仿宋" w:hAnsi="仿宋" w:eastAsia="仿宋" w:cs="宋体"/>
                <w:b/>
                <w:bCs/>
                <w:color w:val="FFFFFF"/>
                <w:kern w:val="0"/>
                <w:sz w:val="24"/>
                <w:szCs w:val="24"/>
              </w:rPr>
              <w:t>专业</w:t>
            </w:r>
          </w:p>
          <w:p>
            <w:pPr>
              <w:widowControl/>
              <w:jc w:val="center"/>
              <w:rPr>
                <w:rFonts w:ascii="仿宋" w:hAnsi="仿宋" w:eastAsia="仿宋" w:cs="宋体"/>
                <w:b/>
                <w:bCs/>
                <w:color w:val="FFFFFF"/>
                <w:kern w:val="0"/>
                <w:sz w:val="24"/>
                <w:szCs w:val="24"/>
              </w:rPr>
            </w:pPr>
            <w:r>
              <w:rPr>
                <w:rFonts w:hint="eastAsia" w:ascii="仿宋" w:hAnsi="仿宋" w:eastAsia="仿宋" w:cs="宋体"/>
                <w:b/>
                <w:bCs/>
                <w:color w:val="FFFFFF"/>
                <w:kern w:val="0"/>
                <w:sz w:val="24"/>
                <w:szCs w:val="24"/>
              </w:rPr>
              <w:t>代码</w:t>
            </w:r>
          </w:p>
        </w:tc>
        <w:tc>
          <w:tcPr>
            <w:tcW w:w="1145" w:type="pct"/>
            <w:tcBorders>
              <w:top w:val="single" w:color="4F81BD" w:sz="8" w:space="0"/>
              <w:left w:val="single" w:color="4F81BD" w:sz="8" w:space="0"/>
              <w:bottom w:val="single" w:color="FFFFFF" w:sz="18" w:space="0"/>
              <w:right w:val="nil"/>
              <w:insideV w:val="nil"/>
            </w:tcBorders>
            <w:shd w:val="clear" w:color="auto" w:fill="4F81BD"/>
            <w:noWrap/>
            <w:vAlign w:val="center"/>
          </w:tcPr>
          <w:p>
            <w:pPr>
              <w:widowControl/>
              <w:jc w:val="center"/>
              <w:rPr>
                <w:rFonts w:ascii="仿宋" w:hAnsi="仿宋" w:eastAsia="仿宋" w:cs="宋体"/>
                <w:b/>
                <w:bCs/>
                <w:color w:val="FFFFFF"/>
                <w:kern w:val="0"/>
                <w:sz w:val="24"/>
                <w:szCs w:val="24"/>
              </w:rPr>
            </w:pPr>
            <w:r>
              <w:rPr>
                <w:rFonts w:hint="eastAsia" w:ascii="仿宋" w:hAnsi="仿宋" w:eastAsia="仿宋" w:cs="宋体"/>
                <w:b/>
                <w:bCs/>
                <w:color w:val="FFFFFF"/>
                <w:kern w:val="0"/>
                <w:sz w:val="24"/>
                <w:szCs w:val="24"/>
              </w:rPr>
              <w:t>专业名称</w:t>
            </w:r>
          </w:p>
        </w:tc>
        <w:tc>
          <w:tcPr>
            <w:tcW w:w="739" w:type="pct"/>
            <w:tcBorders>
              <w:top w:val="single" w:color="4F81BD" w:sz="8" w:space="0"/>
              <w:left w:val="single" w:color="4F81BD" w:sz="8" w:space="0"/>
              <w:bottom w:val="single" w:color="FFFFFF" w:sz="18" w:space="0"/>
              <w:right w:val="nil"/>
              <w:insideV w:val="nil"/>
            </w:tcBorders>
            <w:shd w:val="clear" w:color="auto" w:fill="4F81BD"/>
            <w:noWrap/>
            <w:vAlign w:val="center"/>
          </w:tcPr>
          <w:p>
            <w:pPr>
              <w:widowControl/>
              <w:jc w:val="center"/>
              <w:rPr>
                <w:rFonts w:ascii="仿宋" w:hAnsi="仿宋" w:eastAsia="仿宋" w:cs="宋体"/>
                <w:b/>
                <w:bCs/>
                <w:color w:val="FFFFFF"/>
                <w:kern w:val="0"/>
                <w:sz w:val="24"/>
                <w:szCs w:val="24"/>
              </w:rPr>
            </w:pPr>
            <w:r>
              <w:rPr>
                <w:rFonts w:hint="eastAsia" w:ascii="仿宋" w:hAnsi="仿宋" w:eastAsia="仿宋" w:cs="宋体"/>
                <w:b/>
                <w:bCs/>
                <w:color w:val="FFFFFF"/>
                <w:kern w:val="0"/>
                <w:sz w:val="24"/>
                <w:szCs w:val="24"/>
              </w:rPr>
              <w:t>首次招生</w:t>
            </w:r>
          </w:p>
          <w:p>
            <w:pPr>
              <w:widowControl/>
              <w:jc w:val="center"/>
              <w:rPr>
                <w:rFonts w:ascii="仿宋" w:hAnsi="仿宋" w:eastAsia="仿宋" w:cs="宋体"/>
                <w:b/>
                <w:bCs/>
                <w:color w:val="FFFFFF"/>
                <w:kern w:val="0"/>
                <w:sz w:val="24"/>
                <w:szCs w:val="24"/>
              </w:rPr>
            </w:pPr>
            <w:r>
              <w:rPr>
                <w:rFonts w:hint="eastAsia" w:ascii="仿宋" w:hAnsi="仿宋" w:eastAsia="仿宋" w:cs="宋体"/>
                <w:b/>
                <w:bCs/>
                <w:color w:val="FFFFFF"/>
                <w:kern w:val="0"/>
                <w:sz w:val="24"/>
                <w:szCs w:val="24"/>
              </w:rPr>
              <w:t>日期</w:t>
            </w:r>
          </w:p>
        </w:tc>
        <w:tc>
          <w:tcPr>
            <w:tcW w:w="1212" w:type="pct"/>
            <w:tcBorders>
              <w:top w:val="single" w:color="4F81BD" w:sz="8" w:space="0"/>
              <w:left w:val="single" w:color="4F81BD" w:sz="8" w:space="0"/>
              <w:bottom w:val="single" w:color="FFFFFF" w:sz="18" w:space="0"/>
              <w:right w:val="single" w:color="4F81BD" w:sz="8" w:space="0"/>
              <w:insideV w:val="nil"/>
            </w:tcBorders>
            <w:shd w:val="clear" w:color="auto" w:fill="4F81BD"/>
            <w:noWrap/>
            <w:vAlign w:val="center"/>
          </w:tcPr>
          <w:p>
            <w:pPr>
              <w:widowControl/>
              <w:jc w:val="center"/>
              <w:rPr>
                <w:rFonts w:ascii="仿宋" w:hAnsi="仿宋" w:eastAsia="仿宋" w:cs="宋体"/>
                <w:b/>
                <w:bCs/>
                <w:color w:val="FFFFFF"/>
                <w:kern w:val="0"/>
                <w:sz w:val="24"/>
                <w:szCs w:val="24"/>
              </w:rPr>
            </w:pPr>
            <w:r>
              <w:rPr>
                <w:rFonts w:hint="eastAsia" w:ascii="仿宋" w:hAnsi="仿宋" w:eastAsia="仿宋" w:cs="宋体"/>
                <w:b/>
                <w:bCs/>
                <w:color w:val="FFFFFF"/>
                <w:kern w:val="0"/>
                <w:sz w:val="24"/>
                <w:szCs w:val="24"/>
              </w:rPr>
              <w:t>备注</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jc w:val="center"/>
        </w:trPr>
        <w:tc>
          <w:tcPr>
            <w:tcW w:w="329" w:type="pct"/>
            <w:tcBorders>
              <w:top w:val="single" w:color="FFFFFF" w:sz="1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b/>
                <w:bCs/>
                <w:color w:val="000000"/>
                <w:kern w:val="0"/>
                <w:sz w:val="24"/>
                <w:szCs w:val="24"/>
              </w:rPr>
            </w:pPr>
            <w:r>
              <w:rPr>
                <w:rFonts w:hint="eastAsia" w:ascii="仿宋" w:hAnsi="仿宋" w:eastAsia="仿宋" w:cs="宋体"/>
                <w:b/>
                <w:bCs/>
                <w:color w:val="000000"/>
                <w:kern w:val="0"/>
                <w:sz w:val="24"/>
                <w:szCs w:val="24"/>
              </w:rPr>
              <w:t>1</w:t>
            </w:r>
          </w:p>
        </w:tc>
        <w:tc>
          <w:tcPr>
            <w:tcW w:w="1043" w:type="pct"/>
            <w:tcBorders>
              <w:top w:val="single" w:color="FFFFFF" w:sz="1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信息与软件学院</w:t>
            </w:r>
          </w:p>
        </w:tc>
        <w:tc>
          <w:tcPr>
            <w:tcW w:w="533" w:type="pct"/>
            <w:tcBorders>
              <w:top w:val="single" w:color="FFFFFF" w:sz="1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510203</w:t>
            </w:r>
          </w:p>
        </w:tc>
        <w:tc>
          <w:tcPr>
            <w:tcW w:w="1145" w:type="pct"/>
            <w:tcBorders>
              <w:top w:val="single" w:color="FFFFFF" w:sz="1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软件技术</w:t>
            </w:r>
          </w:p>
        </w:tc>
        <w:tc>
          <w:tcPr>
            <w:tcW w:w="739" w:type="pct"/>
            <w:tcBorders>
              <w:top w:val="single" w:color="FFFFFF" w:sz="1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2007年9月</w:t>
            </w:r>
          </w:p>
        </w:tc>
        <w:tc>
          <w:tcPr>
            <w:tcW w:w="1212" w:type="pct"/>
            <w:tcBorders>
              <w:top w:val="single" w:color="FFFFFF" w:sz="1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省级骨干、校级品牌</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jc w:val="center"/>
        </w:trPr>
        <w:tc>
          <w:tcPr>
            <w:tcW w:w="329"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bCs/>
                <w:color w:val="000000"/>
                <w:kern w:val="0"/>
                <w:sz w:val="24"/>
                <w:szCs w:val="24"/>
              </w:rPr>
            </w:pPr>
            <w:r>
              <w:rPr>
                <w:rFonts w:hint="eastAsia" w:ascii="仿宋" w:hAnsi="仿宋" w:eastAsia="仿宋" w:cs="宋体"/>
                <w:b/>
                <w:bCs/>
                <w:color w:val="000000"/>
                <w:kern w:val="0"/>
                <w:sz w:val="24"/>
                <w:szCs w:val="24"/>
              </w:rPr>
              <w:t>2</w:t>
            </w:r>
          </w:p>
        </w:tc>
        <w:tc>
          <w:tcPr>
            <w:tcW w:w="1043"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信息与软件学院</w:t>
            </w:r>
          </w:p>
        </w:tc>
        <w:tc>
          <w:tcPr>
            <w:tcW w:w="533"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510202</w:t>
            </w:r>
          </w:p>
        </w:tc>
        <w:tc>
          <w:tcPr>
            <w:tcW w:w="1145"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计算机网络技术</w:t>
            </w:r>
          </w:p>
        </w:tc>
        <w:tc>
          <w:tcPr>
            <w:tcW w:w="739"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2007年9月</w:t>
            </w:r>
          </w:p>
        </w:tc>
        <w:tc>
          <w:tcPr>
            <w:tcW w:w="1212"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　</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jc w:val="center"/>
        </w:trPr>
        <w:tc>
          <w:tcPr>
            <w:tcW w:w="329"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b/>
                <w:bCs/>
                <w:color w:val="000000"/>
                <w:kern w:val="0"/>
                <w:sz w:val="24"/>
                <w:szCs w:val="24"/>
              </w:rPr>
            </w:pPr>
            <w:r>
              <w:rPr>
                <w:rFonts w:hint="eastAsia" w:ascii="仿宋" w:hAnsi="仿宋" w:eastAsia="仿宋" w:cs="宋体"/>
                <w:b/>
                <w:bCs/>
                <w:color w:val="000000"/>
                <w:kern w:val="0"/>
                <w:sz w:val="24"/>
                <w:szCs w:val="24"/>
              </w:rPr>
              <w:t>3</w:t>
            </w:r>
          </w:p>
        </w:tc>
        <w:tc>
          <w:tcPr>
            <w:tcW w:w="1043"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信息与软件学院</w:t>
            </w:r>
          </w:p>
        </w:tc>
        <w:tc>
          <w:tcPr>
            <w:tcW w:w="533"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510207</w:t>
            </w:r>
          </w:p>
        </w:tc>
        <w:tc>
          <w:tcPr>
            <w:tcW w:w="1145"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信息安全技术应用</w:t>
            </w:r>
          </w:p>
        </w:tc>
        <w:tc>
          <w:tcPr>
            <w:tcW w:w="739"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2007年9月</w:t>
            </w:r>
          </w:p>
        </w:tc>
        <w:tc>
          <w:tcPr>
            <w:tcW w:w="1212"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校级重点</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jc w:val="center"/>
        </w:trPr>
        <w:tc>
          <w:tcPr>
            <w:tcW w:w="329"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bCs/>
                <w:color w:val="000000"/>
                <w:kern w:val="0"/>
                <w:sz w:val="24"/>
                <w:szCs w:val="24"/>
              </w:rPr>
            </w:pPr>
            <w:r>
              <w:rPr>
                <w:rFonts w:hint="eastAsia" w:ascii="仿宋" w:hAnsi="仿宋" w:eastAsia="仿宋" w:cs="宋体"/>
                <w:b/>
                <w:bCs/>
                <w:color w:val="000000"/>
                <w:kern w:val="0"/>
                <w:sz w:val="24"/>
                <w:szCs w:val="24"/>
              </w:rPr>
              <w:t>4</w:t>
            </w:r>
          </w:p>
        </w:tc>
        <w:tc>
          <w:tcPr>
            <w:tcW w:w="1043"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信息与软件学院</w:t>
            </w:r>
          </w:p>
        </w:tc>
        <w:tc>
          <w:tcPr>
            <w:tcW w:w="533"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510201</w:t>
            </w:r>
          </w:p>
        </w:tc>
        <w:tc>
          <w:tcPr>
            <w:tcW w:w="1145"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计算机应用技术</w:t>
            </w:r>
          </w:p>
        </w:tc>
        <w:tc>
          <w:tcPr>
            <w:tcW w:w="739"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2008年9月</w:t>
            </w:r>
          </w:p>
        </w:tc>
        <w:tc>
          <w:tcPr>
            <w:tcW w:w="1212"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　</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jc w:val="center"/>
        </w:trPr>
        <w:tc>
          <w:tcPr>
            <w:tcW w:w="329"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b/>
                <w:bCs/>
                <w:color w:val="000000"/>
                <w:kern w:val="0"/>
                <w:sz w:val="24"/>
                <w:szCs w:val="24"/>
              </w:rPr>
            </w:pPr>
            <w:r>
              <w:rPr>
                <w:rFonts w:hint="eastAsia" w:ascii="仿宋" w:hAnsi="仿宋" w:eastAsia="仿宋" w:cs="宋体"/>
                <w:b/>
                <w:bCs/>
                <w:color w:val="000000"/>
                <w:kern w:val="0"/>
                <w:sz w:val="24"/>
                <w:szCs w:val="24"/>
              </w:rPr>
              <w:t>5</w:t>
            </w:r>
          </w:p>
        </w:tc>
        <w:tc>
          <w:tcPr>
            <w:tcW w:w="1043"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信息与软件学院</w:t>
            </w:r>
          </w:p>
        </w:tc>
        <w:tc>
          <w:tcPr>
            <w:tcW w:w="533"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510106</w:t>
            </w:r>
          </w:p>
        </w:tc>
        <w:tc>
          <w:tcPr>
            <w:tcW w:w="1145"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移动互联应用技术</w:t>
            </w:r>
          </w:p>
        </w:tc>
        <w:tc>
          <w:tcPr>
            <w:tcW w:w="739"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2013年9月</w:t>
            </w:r>
          </w:p>
        </w:tc>
        <w:tc>
          <w:tcPr>
            <w:tcW w:w="1212"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市级特色、校级重点</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jc w:val="center"/>
        </w:trPr>
        <w:tc>
          <w:tcPr>
            <w:tcW w:w="329"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bCs/>
                <w:color w:val="000000"/>
                <w:kern w:val="0"/>
                <w:sz w:val="24"/>
                <w:szCs w:val="24"/>
              </w:rPr>
            </w:pPr>
            <w:r>
              <w:rPr>
                <w:rFonts w:hint="eastAsia" w:ascii="仿宋" w:hAnsi="仿宋" w:eastAsia="仿宋" w:cs="宋体"/>
                <w:b/>
                <w:bCs/>
                <w:color w:val="000000"/>
                <w:kern w:val="0"/>
                <w:sz w:val="24"/>
                <w:szCs w:val="24"/>
              </w:rPr>
              <w:t>6</w:t>
            </w:r>
          </w:p>
        </w:tc>
        <w:tc>
          <w:tcPr>
            <w:tcW w:w="1043"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信息与软件学院</w:t>
            </w:r>
          </w:p>
        </w:tc>
        <w:tc>
          <w:tcPr>
            <w:tcW w:w="533"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510205</w:t>
            </w:r>
          </w:p>
        </w:tc>
        <w:tc>
          <w:tcPr>
            <w:tcW w:w="1145"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大数据技术</w:t>
            </w:r>
          </w:p>
        </w:tc>
        <w:tc>
          <w:tcPr>
            <w:tcW w:w="739"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2018年9月</w:t>
            </w:r>
          </w:p>
        </w:tc>
        <w:tc>
          <w:tcPr>
            <w:tcW w:w="1212"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　</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jc w:val="center"/>
        </w:trPr>
        <w:tc>
          <w:tcPr>
            <w:tcW w:w="329"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b/>
                <w:bCs/>
                <w:color w:val="000000"/>
                <w:kern w:val="0"/>
                <w:sz w:val="24"/>
                <w:szCs w:val="24"/>
              </w:rPr>
            </w:pPr>
            <w:r>
              <w:rPr>
                <w:rFonts w:hint="eastAsia" w:ascii="仿宋" w:hAnsi="仿宋" w:eastAsia="仿宋" w:cs="宋体"/>
                <w:b/>
                <w:bCs/>
                <w:color w:val="000000"/>
                <w:kern w:val="0"/>
                <w:sz w:val="24"/>
                <w:szCs w:val="24"/>
              </w:rPr>
              <w:t>7</w:t>
            </w:r>
          </w:p>
        </w:tc>
        <w:tc>
          <w:tcPr>
            <w:tcW w:w="1043"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信息与软件学院</w:t>
            </w:r>
          </w:p>
        </w:tc>
        <w:tc>
          <w:tcPr>
            <w:tcW w:w="533"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510204</w:t>
            </w:r>
          </w:p>
        </w:tc>
        <w:tc>
          <w:tcPr>
            <w:tcW w:w="1145"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数字媒体技术</w:t>
            </w:r>
          </w:p>
        </w:tc>
        <w:tc>
          <w:tcPr>
            <w:tcW w:w="739"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2021年9月</w:t>
            </w:r>
          </w:p>
        </w:tc>
        <w:tc>
          <w:tcPr>
            <w:tcW w:w="1212"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　</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jc w:val="center"/>
        </w:trPr>
        <w:tc>
          <w:tcPr>
            <w:tcW w:w="329"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bCs/>
                <w:color w:val="000000"/>
                <w:kern w:val="0"/>
                <w:sz w:val="24"/>
                <w:szCs w:val="24"/>
              </w:rPr>
            </w:pPr>
            <w:r>
              <w:rPr>
                <w:rFonts w:hint="eastAsia" w:ascii="仿宋" w:hAnsi="仿宋" w:eastAsia="仿宋" w:cs="宋体"/>
                <w:b/>
                <w:bCs/>
                <w:color w:val="000000"/>
                <w:kern w:val="0"/>
                <w:sz w:val="24"/>
                <w:szCs w:val="24"/>
              </w:rPr>
              <w:t>8</w:t>
            </w:r>
          </w:p>
        </w:tc>
        <w:tc>
          <w:tcPr>
            <w:tcW w:w="1043"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信息与软件学院</w:t>
            </w:r>
          </w:p>
        </w:tc>
        <w:tc>
          <w:tcPr>
            <w:tcW w:w="533"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510209</w:t>
            </w:r>
          </w:p>
        </w:tc>
        <w:tc>
          <w:tcPr>
            <w:tcW w:w="1145"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人工智能技术应用</w:t>
            </w:r>
          </w:p>
        </w:tc>
        <w:tc>
          <w:tcPr>
            <w:tcW w:w="739"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2021年9月</w:t>
            </w:r>
          </w:p>
        </w:tc>
        <w:tc>
          <w:tcPr>
            <w:tcW w:w="1212"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　</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jc w:val="center"/>
        </w:trPr>
        <w:tc>
          <w:tcPr>
            <w:tcW w:w="329"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b/>
                <w:bCs/>
                <w:color w:val="000000"/>
                <w:kern w:val="0"/>
                <w:sz w:val="24"/>
                <w:szCs w:val="24"/>
              </w:rPr>
            </w:pPr>
            <w:r>
              <w:rPr>
                <w:rFonts w:hint="eastAsia" w:ascii="仿宋" w:hAnsi="仿宋" w:eastAsia="仿宋" w:cs="宋体"/>
                <w:b/>
                <w:bCs/>
                <w:color w:val="000000"/>
                <w:kern w:val="0"/>
                <w:sz w:val="24"/>
                <w:szCs w:val="24"/>
              </w:rPr>
              <w:t>9</w:t>
            </w:r>
          </w:p>
        </w:tc>
        <w:tc>
          <w:tcPr>
            <w:tcW w:w="1043"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机电工程学院</w:t>
            </w:r>
          </w:p>
        </w:tc>
        <w:tc>
          <w:tcPr>
            <w:tcW w:w="533"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500606</w:t>
            </w:r>
          </w:p>
        </w:tc>
        <w:tc>
          <w:tcPr>
            <w:tcW w:w="1145"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城市轨道交通运营管理</w:t>
            </w:r>
          </w:p>
        </w:tc>
        <w:tc>
          <w:tcPr>
            <w:tcW w:w="739"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2014年9月</w:t>
            </w:r>
          </w:p>
        </w:tc>
        <w:tc>
          <w:tcPr>
            <w:tcW w:w="1212"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校级重点</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jc w:val="center"/>
        </w:trPr>
        <w:tc>
          <w:tcPr>
            <w:tcW w:w="329"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bCs/>
                <w:color w:val="000000"/>
                <w:kern w:val="0"/>
                <w:sz w:val="24"/>
                <w:szCs w:val="24"/>
              </w:rPr>
            </w:pPr>
            <w:r>
              <w:rPr>
                <w:rFonts w:hint="eastAsia" w:ascii="仿宋" w:hAnsi="仿宋" w:eastAsia="仿宋" w:cs="宋体"/>
                <w:b/>
                <w:bCs/>
                <w:color w:val="000000"/>
                <w:kern w:val="0"/>
                <w:sz w:val="24"/>
                <w:szCs w:val="24"/>
              </w:rPr>
              <w:t>10</w:t>
            </w:r>
          </w:p>
        </w:tc>
        <w:tc>
          <w:tcPr>
            <w:tcW w:w="1043"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机电工程学院</w:t>
            </w:r>
          </w:p>
        </w:tc>
        <w:tc>
          <w:tcPr>
            <w:tcW w:w="533"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460206</w:t>
            </w:r>
          </w:p>
        </w:tc>
        <w:tc>
          <w:tcPr>
            <w:tcW w:w="1145"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电梯工程技术</w:t>
            </w:r>
          </w:p>
        </w:tc>
        <w:tc>
          <w:tcPr>
            <w:tcW w:w="739"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2015年9月</w:t>
            </w:r>
          </w:p>
        </w:tc>
        <w:tc>
          <w:tcPr>
            <w:tcW w:w="1212"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　</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jc w:val="center"/>
        </w:trPr>
        <w:tc>
          <w:tcPr>
            <w:tcW w:w="329"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b/>
                <w:bCs/>
                <w:color w:val="000000"/>
                <w:kern w:val="0"/>
                <w:sz w:val="24"/>
                <w:szCs w:val="24"/>
              </w:rPr>
            </w:pPr>
            <w:r>
              <w:rPr>
                <w:rFonts w:hint="eastAsia" w:ascii="仿宋" w:hAnsi="仿宋" w:eastAsia="仿宋" w:cs="宋体"/>
                <w:b/>
                <w:bCs/>
                <w:color w:val="000000"/>
                <w:kern w:val="0"/>
                <w:sz w:val="24"/>
                <w:szCs w:val="24"/>
              </w:rPr>
              <w:t>11</w:t>
            </w:r>
          </w:p>
        </w:tc>
        <w:tc>
          <w:tcPr>
            <w:tcW w:w="1043"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机电工程学院</w:t>
            </w:r>
          </w:p>
        </w:tc>
        <w:tc>
          <w:tcPr>
            <w:tcW w:w="533"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460305</w:t>
            </w:r>
          </w:p>
        </w:tc>
        <w:tc>
          <w:tcPr>
            <w:tcW w:w="1145"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工业机器人技术</w:t>
            </w:r>
          </w:p>
        </w:tc>
        <w:tc>
          <w:tcPr>
            <w:tcW w:w="739"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2015年9月</w:t>
            </w:r>
          </w:p>
        </w:tc>
        <w:tc>
          <w:tcPr>
            <w:tcW w:w="1212"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　</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jc w:val="center"/>
        </w:trPr>
        <w:tc>
          <w:tcPr>
            <w:tcW w:w="329"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bCs/>
                <w:color w:val="000000"/>
                <w:kern w:val="0"/>
                <w:sz w:val="24"/>
                <w:szCs w:val="24"/>
              </w:rPr>
            </w:pPr>
            <w:r>
              <w:rPr>
                <w:rFonts w:hint="eastAsia" w:ascii="仿宋" w:hAnsi="仿宋" w:eastAsia="仿宋" w:cs="宋体"/>
                <w:b/>
                <w:bCs/>
                <w:color w:val="000000"/>
                <w:kern w:val="0"/>
                <w:sz w:val="24"/>
                <w:szCs w:val="24"/>
              </w:rPr>
              <w:t>12</w:t>
            </w:r>
          </w:p>
        </w:tc>
        <w:tc>
          <w:tcPr>
            <w:tcW w:w="1043"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机电工程学院</w:t>
            </w:r>
          </w:p>
        </w:tc>
        <w:tc>
          <w:tcPr>
            <w:tcW w:w="533"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460609</w:t>
            </w:r>
          </w:p>
        </w:tc>
        <w:tc>
          <w:tcPr>
            <w:tcW w:w="1145"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无人机应用技术</w:t>
            </w:r>
          </w:p>
        </w:tc>
        <w:tc>
          <w:tcPr>
            <w:tcW w:w="739"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2015年9月</w:t>
            </w:r>
          </w:p>
        </w:tc>
        <w:tc>
          <w:tcPr>
            <w:tcW w:w="1212"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校级重点</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jc w:val="center"/>
        </w:trPr>
        <w:tc>
          <w:tcPr>
            <w:tcW w:w="329"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b/>
                <w:bCs/>
                <w:color w:val="000000"/>
                <w:kern w:val="0"/>
                <w:sz w:val="24"/>
                <w:szCs w:val="24"/>
              </w:rPr>
            </w:pPr>
            <w:r>
              <w:rPr>
                <w:rFonts w:hint="eastAsia" w:ascii="仿宋" w:hAnsi="仿宋" w:eastAsia="仿宋" w:cs="宋体"/>
                <w:b/>
                <w:bCs/>
                <w:color w:val="000000"/>
                <w:kern w:val="0"/>
                <w:sz w:val="24"/>
                <w:szCs w:val="24"/>
              </w:rPr>
              <w:t>13</w:t>
            </w:r>
          </w:p>
        </w:tc>
        <w:tc>
          <w:tcPr>
            <w:tcW w:w="1043"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机电工程学院</w:t>
            </w:r>
          </w:p>
        </w:tc>
        <w:tc>
          <w:tcPr>
            <w:tcW w:w="533"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460301</w:t>
            </w:r>
          </w:p>
        </w:tc>
        <w:tc>
          <w:tcPr>
            <w:tcW w:w="1145"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机电一体化技术</w:t>
            </w:r>
          </w:p>
        </w:tc>
        <w:tc>
          <w:tcPr>
            <w:tcW w:w="739"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2016年9月</w:t>
            </w:r>
          </w:p>
        </w:tc>
        <w:tc>
          <w:tcPr>
            <w:tcW w:w="1212"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　</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jc w:val="center"/>
        </w:trPr>
        <w:tc>
          <w:tcPr>
            <w:tcW w:w="329"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bCs/>
                <w:color w:val="000000"/>
                <w:kern w:val="0"/>
                <w:sz w:val="24"/>
                <w:szCs w:val="24"/>
              </w:rPr>
            </w:pPr>
            <w:r>
              <w:rPr>
                <w:rFonts w:hint="eastAsia" w:ascii="仿宋" w:hAnsi="仿宋" w:eastAsia="仿宋" w:cs="宋体"/>
                <w:b/>
                <w:bCs/>
                <w:color w:val="000000"/>
                <w:kern w:val="0"/>
                <w:sz w:val="24"/>
                <w:szCs w:val="24"/>
              </w:rPr>
              <w:t>14</w:t>
            </w:r>
          </w:p>
        </w:tc>
        <w:tc>
          <w:tcPr>
            <w:tcW w:w="1043"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机电工程学院</w:t>
            </w:r>
          </w:p>
        </w:tc>
        <w:tc>
          <w:tcPr>
            <w:tcW w:w="533"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500211</w:t>
            </w:r>
          </w:p>
        </w:tc>
        <w:tc>
          <w:tcPr>
            <w:tcW w:w="1145"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汽车检测与维修技术</w:t>
            </w:r>
          </w:p>
        </w:tc>
        <w:tc>
          <w:tcPr>
            <w:tcW w:w="739"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2019年9月</w:t>
            </w:r>
          </w:p>
        </w:tc>
        <w:tc>
          <w:tcPr>
            <w:tcW w:w="1212"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　</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jc w:val="center"/>
        </w:trPr>
        <w:tc>
          <w:tcPr>
            <w:tcW w:w="329"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b/>
                <w:bCs/>
                <w:color w:val="000000"/>
                <w:kern w:val="0"/>
                <w:sz w:val="24"/>
                <w:szCs w:val="24"/>
              </w:rPr>
            </w:pPr>
            <w:r>
              <w:rPr>
                <w:rFonts w:hint="eastAsia" w:ascii="仿宋" w:hAnsi="仿宋" w:eastAsia="仿宋" w:cs="宋体"/>
                <w:b/>
                <w:bCs/>
                <w:color w:val="000000"/>
                <w:kern w:val="0"/>
                <w:sz w:val="24"/>
                <w:szCs w:val="24"/>
              </w:rPr>
              <w:t>15</w:t>
            </w:r>
          </w:p>
        </w:tc>
        <w:tc>
          <w:tcPr>
            <w:tcW w:w="1043"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机电工程学院</w:t>
            </w:r>
          </w:p>
        </w:tc>
        <w:tc>
          <w:tcPr>
            <w:tcW w:w="533"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460702</w:t>
            </w:r>
          </w:p>
        </w:tc>
        <w:tc>
          <w:tcPr>
            <w:tcW w:w="1145"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新能源汽车技术</w:t>
            </w:r>
          </w:p>
        </w:tc>
        <w:tc>
          <w:tcPr>
            <w:tcW w:w="739"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2021年9月</w:t>
            </w:r>
          </w:p>
        </w:tc>
        <w:tc>
          <w:tcPr>
            <w:tcW w:w="1212"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　</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jc w:val="center"/>
        </w:trPr>
        <w:tc>
          <w:tcPr>
            <w:tcW w:w="329"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bCs/>
                <w:color w:val="000000"/>
                <w:kern w:val="0"/>
                <w:sz w:val="24"/>
                <w:szCs w:val="24"/>
              </w:rPr>
            </w:pPr>
            <w:r>
              <w:rPr>
                <w:rFonts w:hint="eastAsia" w:ascii="仿宋" w:hAnsi="仿宋" w:eastAsia="仿宋" w:cs="宋体"/>
                <w:b/>
                <w:bCs/>
                <w:color w:val="000000"/>
                <w:kern w:val="0"/>
                <w:sz w:val="24"/>
                <w:szCs w:val="24"/>
              </w:rPr>
              <w:t>16</w:t>
            </w:r>
          </w:p>
        </w:tc>
        <w:tc>
          <w:tcPr>
            <w:tcW w:w="1043"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艺术与建筑学院</w:t>
            </w:r>
          </w:p>
        </w:tc>
        <w:tc>
          <w:tcPr>
            <w:tcW w:w="533"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560206</w:t>
            </w:r>
          </w:p>
        </w:tc>
        <w:tc>
          <w:tcPr>
            <w:tcW w:w="1145"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影视动画</w:t>
            </w:r>
          </w:p>
        </w:tc>
        <w:tc>
          <w:tcPr>
            <w:tcW w:w="739"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2008年9月</w:t>
            </w:r>
          </w:p>
        </w:tc>
        <w:tc>
          <w:tcPr>
            <w:tcW w:w="1212"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　</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jc w:val="center"/>
        </w:trPr>
        <w:tc>
          <w:tcPr>
            <w:tcW w:w="329"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b/>
                <w:bCs/>
                <w:color w:val="000000"/>
                <w:kern w:val="0"/>
                <w:sz w:val="24"/>
                <w:szCs w:val="24"/>
              </w:rPr>
            </w:pPr>
            <w:r>
              <w:rPr>
                <w:rFonts w:hint="eastAsia" w:ascii="仿宋" w:hAnsi="仿宋" w:eastAsia="仿宋" w:cs="宋体"/>
                <w:b/>
                <w:bCs/>
                <w:color w:val="000000"/>
                <w:kern w:val="0"/>
                <w:sz w:val="24"/>
                <w:szCs w:val="24"/>
              </w:rPr>
              <w:t>17</w:t>
            </w:r>
          </w:p>
        </w:tc>
        <w:tc>
          <w:tcPr>
            <w:tcW w:w="1043"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艺术与建筑学院</w:t>
            </w:r>
          </w:p>
        </w:tc>
        <w:tc>
          <w:tcPr>
            <w:tcW w:w="533"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550106</w:t>
            </w:r>
          </w:p>
        </w:tc>
        <w:tc>
          <w:tcPr>
            <w:tcW w:w="1145"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环境艺术设计</w:t>
            </w:r>
          </w:p>
        </w:tc>
        <w:tc>
          <w:tcPr>
            <w:tcW w:w="739"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2009年9月</w:t>
            </w:r>
          </w:p>
        </w:tc>
        <w:tc>
          <w:tcPr>
            <w:tcW w:w="1212"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市级品牌、校级重点</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jc w:val="center"/>
        </w:trPr>
        <w:tc>
          <w:tcPr>
            <w:tcW w:w="329"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bCs/>
                <w:color w:val="000000"/>
                <w:kern w:val="0"/>
                <w:sz w:val="24"/>
                <w:szCs w:val="24"/>
              </w:rPr>
            </w:pPr>
            <w:r>
              <w:rPr>
                <w:rFonts w:hint="eastAsia" w:ascii="仿宋" w:hAnsi="仿宋" w:eastAsia="仿宋" w:cs="宋体"/>
                <w:b/>
                <w:bCs/>
                <w:color w:val="000000"/>
                <w:kern w:val="0"/>
                <w:sz w:val="24"/>
                <w:szCs w:val="24"/>
              </w:rPr>
              <w:t>18</w:t>
            </w:r>
          </w:p>
        </w:tc>
        <w:tc>
          <w:tcPr>
            <w:tcW w:w="1043"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艺术与建筑学院</w:t>
            </w:r>
          </w:p>
        </w:tc>
        <w:tc>
          <w:tcPr>
            <w:tcW w:w="533"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550102</w:t>
            </w:r>
          </w:p>
        </w:tc>
        <w:tc>
          <w:tcPr>
            <w:tcW w:w="1145"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视觉传达设计</w:t>
            </w:r>
          </w:p>
        </w:tc>
        <w:tc>
          <w:tcPr>
            <w:tcW w:w="739"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2013年9月</w:t>
            </w:r>
          </w:p>
        </w:tc>
        <w:tc>
          <w:tcPr>
            <w:tcW w:w="1212"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校级重点</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jc w:val="center"/>
        </w:trPr>
        <w:tc>
          <w:tcPr>
            <w:tcW w:w="329"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b/>
                <w:bCs/>
                <w:color w:val="000000"/>
                <w:kern w:val="0"/>
                <w:sz w:val="24"/>
                <w:szCs w:val="24"/>
              </w:rPr>
            </w:pPr>
            <w:r>
              <w:rPr>
                <w:rFonts w:hint="eastAsia" w:ascii="仿宋" w:hAnsi="仿宋" w:eastAsia="仿宋" w:cs="宋体"/>
                <w:b/>
                <w:bCs/>
                <w:color w:val="000000"/>
                <w:kern w:val="0"/>
                <w:sz w:val="24"/>
                <w:szCs w:val="24"/>
              </w:rPr>
              <w:t>19</w:t>
            </w:r>
          </w:p>
        </w:tc>
        <w:tc>
          <w:tcPr>
            <w:tcW w:w="1043"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艺术与建筑学院</w:t>
            </w:r>
          </w:p>
        </w:tc>
        <w:tc>
          <w:tcPr>
            <w:tcW w:w="533"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440501</w:t>
            </w:r>
          </w:p>
        </w:tc>
        <w:tc>
          <w:tcPr>
            <w:tcW w:w="1145"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工程造价</w:t>
            </w:r>
          </w:p>
        </w:tc>
        <w:tc>
          <w:tcPr>
            <w:tcW w:w="739"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2014年9月</w:t>
            </w:r>
          </w:p>
        </w:tc>
        <w:tc>
          <w:tcPr>
            <w:tcW w:w="1212"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　</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jc w:val="center"/>
        </w:trPr>
        <w:tc>
          <w:tcPr>
            <w:tcW w:w="329"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bCs/>
                <w:color w:val="000000"/>
                <w:kern w:val="0"/>
                <w:sz w:val="24"/>
                <w:szCs w:val="24"/>
              </w:rPr>
            </w:pPr>
            <w:r>
              <w:rPr>
                <w:rFonts w:hint="eastAsia" w:ascii="仿宋" w:hAnsi="仿宋" w:eastAsia="仿宋" w:cs="宋体"/>
                <w:b/>
                <w:bCs/>
                <w:color w:val="000000"/>
                <w:kern w:val="0"/>
                <w:sz w:val="24"/>
                <w:szCs w:val="24"/>
              </w:rPr>
              <w:t>20</w:t>
            </w:r>
          </w:p>
        </w:tc>
        <w:tc>
          <w:tcPr>
            <w:tcW w:w="1043"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艺术与建筑学院</w:t>
            </w:r>
          </w:p>
        </w:tc>
        <w:tc>
          <w:tcPr>
            <w:tcW w:w="533"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440106</w:t>
            </w:r>
          </w:p>
        </w:tc>
        <w:tc>
          <w:tcPr>
            <w:tcW w:w="1145"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建筑室内设计</w:t>
            </w:r>
          </w:p>
        </w:tc>
        <w:tc>
          <w:tcPr>
            <w:tcW w:w="739"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2017年9月</w:t>
            </w:r>
          </w:p>
        </w:tc>
        <w:tc>
          <w:tcPr>
            <w:tcW w:w="1212"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　</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jc w:val="center"/>
        </w:trPr>
        <w:tc>
          <w:tcPr>
            <w:tcW w:w="329"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b/>
                <w:bCs/>
                <w:color w:val="000000"/>
                <w:kern w:val="0"/>
                <w:sz w:val="24"/>
                <w:szCs w:val="24"/>
              </w:rPr>
            </w:pPr>
            <w:r>
              <w:rPr>
                <w:rFonts w:hint="eastAsia" w:ascii="仿宋" w:hAnsi="仿宋" w:eastAsia="仿宋" w:cs="宋体"/>
                <w:b/>
                <w:bCs/>
                <w:color w:val="000000"/>
                <w:kern w:val="0"/>
                <w:sz w:val="24"/>
                <w:szCs w:val="24"/>
              </w:rPr>
              <w:t>21</w:t>
            </w:r>
          </w:p>
        </w:tc>
        <w:tc>
          <w:tcPr>
            <w:tcW w:w="1043"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艺术与建筑学院</w:t>
            </w:r>
          </w:p>
        </w:tc>
        <w:tc>
          <w:tcPr>
            <w:tcW w:w="533"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550108</w:t>
            </w:r>
          </w:p>
        </w:tc>
        <w:tc>
          <w:tcPr>
            <w:tcW w:w="1145"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公共艺术设计</w:t>
            </w:r>
          </w:p>
        </w:tc>
        <w:tc>
          <w:tcPr>
            <w:tcW w:w="739"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2019年9月</w:t>
            </w:r>
          </w:p>
        </w:tc>
        <w:tc>
          <w:tcPr>
            <w:tcW w:w="1212"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　</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jc w:val="center"/>
        </w:trPr>
        <w:tc>
          <w:tcPr>
            <w:tcW w:w="329"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bCs/>
                <w:color w:val="000000"/>
                <w:kern w:val="0"/>
                <w:sz w:val="24"/>
                <w:szCs w:val="24"/>
              </w:rPr>
            </w:pPr>
            <w:r>
              <w:rPr>
                <w:rFonts w:hint="eastAsia" w:ascii="仿宋" w:hAnsi="仿宋" w:eastAsia="仿宋" w:cs="宋体"/>
                <w:b/>
                <w:bCs/>
                <w:color w:val="000000"/>
                <w:kern w:val="0"/>
                <w:sz w:val="24"/>
                <w:szCs w:val="24"/>
              </w:rPr>
              <w:t>22</w:t>
            </w:r>
          </w:p>
        </w:tc>
        <w:tc>
          <w:tcPr>
            <w:tcW w:w="1043"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艺术与建筑学院</w:t>
            </w:r>
          </w:p>
        </w:tc>
        <w:tc>
          <w:tcPr>
            <w:tcW w:w="533"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550103</w:t>
            </w:r>
          </w:p>
        </w:tc>
        <w:tc>
          <w:tcPr>
            <w:tcW w:w="1145"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数字媒体艺术设计</w:t>
            </w:r>
          </w:p>
        </w:tc>
        <w:tc>
          <w:tcPr>
            <w:tcW w:w="739"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2021年9月</w:t>
            </w:r>
          </w:p>
        </w:tc>
        <w:tc>
          <w:tcPr>
            <w:tcW w:w="1212"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　</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jc w:val="center"/>
        </w:trPr>
        <w:tc>
          <w:tcPr>
            <w:tcW w:w="329"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b/>
                <w:bCs/>
                <w:color w:val="000000"/>
                <w:kern w:val="0"/>
                <w:sz w:val="24"/>
                <w:szCs w:val="24"/>
              </w:rPr>
            </w:pPr>
            <w:r>
              <w:rPr>
                <w:rFonts w:hint="eastAsia" w:ascii="仿宋" w:hAnsi="仿宋" w:eastAsia="仿宋" w:cs="宋体"/>
                <w:b/>
                <w:bCs/>
                <w:color w:val="000000"/>
                <w:kern w:val="0"/>
                <w:sz w:val="24"/>
                <w:szCs w:val="24"/>
              </w:rPr>
              <w:t>23</w:t>
            </w:r>
          </w:p>
        </w:tc>
        <w:tc>
          <w:tcPr>
            <w:tcW w:w="1043"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国际商学院</w:t>
            </w:r>
          </w:p>
        </w:tc>
        <w:tc>
          <w:tcPr>
            <w:tcW w:w="533"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530701</w:t>
            </w:r>
          </w:p>
        </w:tc>
        <w:tc>
          <w:tcPr>
            <w:tcW w:w="1145"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电子商务</w:t>
            </w:r>
          </w:p>
        </w:tc>
        <w:tc>
          <w:tcPr>
            <w:tcW w:w="739"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2008年9月</w:t>
            </w:r>
          </w:p>
        </w:tc>
        <w:tc>
          <w:tcPr>
            <w:tcW w:w="1212"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市级品牌、校级重点</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jc w:val="center"/>
        </w:trPr>
        <w:tc>
          <w:tcPr>
            <w:tcW w:w="329"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bCs/>
                <w:color w:val="000000"/>
                <w:kern w:val="0"/>
                <w:sz w:val="24"/>
                <w:szCs w:val="24"/>
              </w:rPr>
            </w:pPr>
            <w:r>
              <w:rPr>
                <w:rFonts w:hint="eastAsia" w:ascii="仿宋" w:hAnsi="仿宋" w:eastAsia="仿宋" w:cs="宋体"/>
                <w:b/>
                <w:bCs/>
                <w:color w:val="000000"/>
                <w:kern w:val="0"/>
                <w:sz w:val="24"/>
                <w:szCs w:val="24"/>
              </w:rPr>
              <w:t>24</w:t>
            </w:r>
          </w:p>
        </w:tc>
        <w:tc>
          <w:tcPr>
            <w:tcW w:w="1043"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国际商学院</w:t>
            </w:r>
          </w:p>
        </w:tc>
        <w:tc>
          <w:tcPr>
            <w:tcW w:w="533"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530302</w:t>
            </w:r>
          </w:p>
        </w:tc>
        <w:tc>
          <w:tcPr>
            <w:tcW w:w="1145"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大数据与会计</w:t>
            </w:r>
          </w:p>
        </w:tc>
        <w:tc>
          <w:tcPr>
            <w:tcW w:w="739"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2009年9月</w:t>
            </w:r>
          </w:p>
        </w:tc>
        <w:tc>
          <w:tcPr>
            <w:tcW w:w="1212"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校级重点</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jc w:val="center"/>
        </w:trPr>
        <w:tc>
          <w:tcPr>
            <w:tcW w:w="329"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b/>
                <w:bCs/>
                <w:color w:val="000000"/>
                <w:kern w:val="0"/>
                <w:sz w:val="24"/>
                <w:szCs w:val="24"/>
              </w:rPr>
            </w:pPr>
            <w:r>
              <w:rPr>
                <w:rFonts w:hint="eastAsia" w:ascii="仿宋" w:hAnsi="仿宋" w:eastAsia="仿宋" w:cs="宋体"/>
                <w:b/>
                <w:bCs/>
                <w:color w:val="000000"/>
                <w:kern w:val="0"/>
                <w:sz w:val="24"/>
                <w:szCs w:val="24"/>
              </w:rPr>
              <w:t>25</w:t>
            </w:r>
          </w:p>
        </w:tc>
        <w:tc>
          <w:tcPr>
            <w:tcW w:w="1043"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国际商学院</w:t>
            </w:r>
          </w:p>
        </w:tc>
        <w:tc>
          <w:tcPr>
            <w:tcW w:w="533"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530605</w:t>
            </w:r>
          </w:p>
        </w:tc>
        <w:tc>
          <w:tcPr>
            <w:tcW w:w="1145"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市场营销</w:t>
            </w:r>
          </w:p>
        </w:tc>
        <w:tc>
          <w:tcPr>
            <w:tcW w:w="739"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2009年9月</w:t>
            </w:r>
          </w:p>
        </w:tc>
        <w:tc>
          <w:tcPr>
            <w:tcW w:w="1212"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　</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jc w:val="center"/>
        </w:trPr>
        <w:tc>
          <w:tcPr>
            <w:tcW w:w="329"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bCs/>
                <w:color w:val="000000"/>
                <w:kern w:val="0"/>
                <w:sz w:val="24"/>
                <w:szCs w:val="24"/>
              </w:rPr>
            </w:pPr>
            <w:r>
              <w:rPr>
                <w:rFonts w:hint="eastAsia" w:ascii="仿宋" w:hAnsi="仿宋" w:eastAsia="仿宋" w:cs="宋体"/>
                <w:b/>
                <w:bCs/>
                <w:color w:val="000000"/>
                <w:kern w:val="0"/>
                <w:sz w:val="24"/>
                <w:szCs w:val="24"/>
              </w:rPr>
              <w:t>26</w:t>
            </w:r>
          </w:p>
        </w:tc>
        <w:tc>
          <w:tcPr>
            <w:tcW w:w="1043"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国际商学院</w:t>
            </w:r>
          </w:p>
        </w:tc>
        <w:tc>
          <w:tcPr>
            <w:tcW w:w="533"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540106</w:t>
            </w:r>
          </w:p>
        </w:tc>
        <w:tc>
          <w:tcPr>
            <w:tcW w:w="1145"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酒店管理与数字化运营</w:t>
            </w:r>
          </w:p>
        </w:tc>
        <w:tc>
          <w:tcPr>
            <w:tcW w:w="739"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2012年9月</w:t>
            </w:r>
          </w:p>
        </w:tc>
        <w:tc>
          <w:tcPr>
            <w:tcW w:w="1212"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　</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jc w:val="center"/>
        </w:trPr>
        <w:tc>
          <w:tcPr>
            <w:tcW w:w="329"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b/>
                <w:bCs/>
                <w:color w:val="000000"/>
                <w:kern w:val="0"/>
                <w:sz w:val="24"/>
                <w:szCs w:val="24"/>
              </w:rPr>
            </w:pPr>
            <w:r>
              <w:rPr>
                <w:rFonts w:hint="eastAsia" w:ascii="仿宋" w:hAnsi="仿宋" w:eastAsia="仿宋" w:cs="宋体"/>
                <w:b/>
                <w:bCs/>
                <w:color w:val="000000"/>
                <w:kern w:val="0"/>
                <w:sz w:val="24"/>
                <w:szCs w:val="24"/>
              </w:rPr>
              <w:t>27</w:t>
            </w:r>
          </w:p>
        </w:tc>
        <w:tc>
          <w:tcPr>
            <w:tcW w:w="1043"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国际商学院</w:t>
            </w:r>
          </w:p>
        </w:tc>
        <w:tc>
          <w:tcPr>
            <w:tcW w:w="533"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540101</w:t>
            </w:r>
          </w:p>
        </w:tc>
        <w:tc>
          <w:tcPr>
            <w:tcW w:w="1145"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旅游管理</w:t>
            </w:r>
          </w:p>
        </w:tc>
        <w:tc>
          <w:tcPr>
            <w:tcW w:w="739"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2016年9月</w:t>
            </w:r>
          </w:p>
        </w:tc>
        <w:tc>
          <w:tcPr>
            <w:tcW w:w="1212"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　</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jc w:val="center"/>
        </w:trPr>
        <w:tc>
          <w:tcPr>
            <w:tcW w:w="329"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bCs/>
                <w:color w:val="000000"/>
                <w:kern w:val="0"/>
                <w:sz w:val="24"/>
                <w:szCs w:val="24"/>
              </w:rPr>
            </w:pPr>
            <w:r>
              <w:rPr>
                <w:rFonts w:hint="eastAsia" w:ascii="仿宋" w:hAnsi="仿宋" w:eastAsia="仿宋" w:cs="宋体"/>
                <w:b/>
                <w:bCs/>
                <w:color w:val="000000"/>
                <w:kern w:val="0"/>
                <w:sz w:val="24"/>
                <w:szCs w:val="24"/>
              </w:rPr>
              <w:t>28</w:t>
            </w:r>
          </w:p>
        </w:tc>
        <w:tc>
          <w:tcPr>
            <w:tcW w:w="1043"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国际商学院</w:t>
            </w:r>
          </w:p>
        </w:tc>
        <w:tc>
          <w:tcPr>
            <w:tcW w:w="533"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500405</w:t>
            </w:r>
          </w:p>
        </w:tc>
        <w:tc>
          <w:tcPr>
            <w:tcW w:w="1145"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空中乘务</w:t>
            </w:r>
          </w:p>
        </w:tc>
        <w:tc>
          <w:tcPr>
            <w:tcW w:w="739"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2018年9月</w:t>
            </w:r>
          </w:p>
        </w:tc>
        <w:tc>
          <w:tcPr>
            <w:tcW w:w="1212"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　</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jc w:val="center"/>
        </w:trPr>
        <w:tc>
          <w:tcPr>
            <w:tcW w:w="329"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b/>
                <w:bCs/>
                <w:color w:val="000000"/>
                <w:kern w:val="0"/>
                <w:sz w:val="24"/>
                <w:szCs w:val="24"/>
              </w:rPr>
            </w:pPr>
            <w:r>
              <w:rPr>
                <w:rFonts w:hint="eastAsia" w:ascii="仿宋" w:hAnsi="仿宋" w:eastAsia="仿宋" w:cs="宋体"/>
                <w:b/>
                <w:bCs/>
                <w:color w:val="000000"/>
                <w:kern w:val="0"/>
                <w:sz w:val="24"/>
                <w:szCs w:val="24"/>
              </w:rPr>
              <w:t>29</w:t>
            </w:r>
          </w:p>
        </w:tc>
        <w:tc>
          <w:tcPr>
            <w:tcW w:w="1043"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国际商学院</w:t>
            </w:r>
          </w:p>
        </w:tc>
        <w:tc>
          <w:tcPr>
            <w:tcW w:w="533"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500113</w:t>
            </w:r>
          </w:p>
        </w:tc>
        <w:tc>
          <w:tcPr>
            <w:tcW w:w="1145"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高速铁路客运服务</w:t>
            </w:r>
          </w:p>
        </w:tc>
        <w:tc>
          <w:tcPr>
            <w:tcW w:w="739"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2021年9月</w:t>
            </w:r>
          </w:p>
        </w:tc>
        <w:tc>
          <w:tcPr>
            <w:tcW w:w="1212"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　</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jc w:val="center"/>
        </w:trPr>
        <w:tc>
          <w:tcPr>
            <w:tcW w:w="329"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bCs/>
                <w:color w:val="FF0000"/>
                <w:kern w:val="0"/>
                <w:sz w:val="24"/>
                <w:szCs w:val="24"/>
              </w:rPr>
            </w:pPr>
            <w:r>
              <w:rPr>
                <w:rFonts w:hint="eastAsia" w:ascii="仿宋" w:hAnsi="仿宋" w:eastAsia="仿宋" w:cs="宋体"/>
                <w:b/>
                <w:bCs/>
                <w:color w:val="000000"/>
                <w:kern w:val="0"/>
                <w:sz w:val="24"/>
                <w:szCs w:val="24"/>
              </w:rPr>
              <w:t>30</w:t>
            </w:r>
          </w:p>
        </w:tc>
        <w:tc>
          <w:tcPr>
            <w:tcW w:w="1043"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FF0000"/>
                <w:kern w:val="0"/>
                <w:sz w:val="24"/>
                <w:szCs w:val="24"/>
              </w:rPr>
            </w:pPr>
            <w:r>
              <w:rPr>
                <w:rFonts w:hint="eastAsia" w:ascii="仿宋" w:hAnsi="仿宋" w:eastAsia="仿宋" w:cs="宋体"/>
                <w:color w:val="000000"/>
                <w:kern w:val="0"/>
                <w:sz w:val="24"/>
                <w:szCs w:val="24"/>
              </w:rPr>
              <w:t>医学与公共服务学院</w:t>
            </w:r>
          </w:p>
        </w:tc>
        <w:tc>
          <w:tcPr>
            <w:tcW w:w="533"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FF0000"/>
                <w:kern w:val="0"/>
                <w:sz w:val="24"/>
                <w:szCs w:val="24"/>
              </w:rPr>
            </w:pPr>
            <w:r>
              <w:rPr>
                <w:rFonts w:hint="eastAsia" w:ascii="仿宋" w:hAnsi="仿宋" w:eastAsia="仿宋" w:cs="宋体"/>
                <w:color w:val="000000"/>
                <w:kern w:val="0"/>
                <w:sz w:val="24"/>
                <w:szCs w:val="24"/>
              </w:rPr>
              <w:t>520802</w:t>
            </w:r>
          </w:p>
        </w:tc>
        <w:tc>
          <w:tcPr>
            <w:tcW w:w="1145"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FF0000"/>
                <w:kern w:val="0"/>
                <w:sz w:val="24"/>
                <w:szCs w:val="24"/>
              </w:rPr>
            </w:pPr>
            <w:r>
              <w:rPr>
                <w:rFonts w:hint="eastAsia" w:ascii="仿宋" w:hAnsi="仿宋" w:eastAsia="仿宋" w:cs="宋体"/>
                <w:color w:val="000000"/>
                <w:kern w:val="0"/>
                <w:sz w:val="24"/>
                <w:szCs w:val="24"/>
              </w:rPr>
              <w:t>婴幼儿托育服务与管理</w:t>
            </w:r>
          </w:p>
        </w:tc>
        <w:tc>
          <w:tcPr>
            <w:tcW w:w="739"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FF0000"/>
                <w:kern w:val="0"/>
                <w:sz w:val="24"/>
                <w:szCs w:val="24"/>
              </w:rPr>
            </w:pPr>
            <w:r>
              <w:rPr>
                <w:rFonts w:hint="eastAsia" w:ascii="仿宋" w:hAnsi="仿宋" w:eastAsia="仿宋" w:cs="宋体"/>
                <w:color w:val="000000"/>
                <w:kern w:val="0"/>
                <w:sz w:val="24"/>
                <w:szCs w:val="24"/>
              </w:rPr>
              <w:t>2018年9月</w:t>
            </w:r>
          </w:p>
        </w:tc>
        <w:tc>
          <w:tcPr>
            <w:tcW w:w="1212"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FF0000"/>
                <w:kern w:val="0"/>
                <w:sz w:val="24"/>
                <w:szCs w:val="24"/>
              </w:rPr>
            </w:pPr>
            <w:r>
              <w:rPr>
                <w:rFonts w:hint="eastAsia" w:ascii="仿宋" w:hAnsi="仿宋" w:eastAsia="仿宋" w:cs="宋体"/>
                <w:color w:val="000000"/>
                <w:kern w:val="0"/>
                <w:sz w:val="24"/>
                <w:szCs w:val="24"/>
              </w:rPr>
              <w:t>校级重点</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jc w:val="center"/>
        </w:trPr>
        <w:tc>
          <w:tcPr>
            <w:tcW w:w="329"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b/>
                <w:bCs/>
                <w:color w:val="000000"/>
                <w:kern w:val="0"/>
                <w:sz w:val="24"/>
                <w:szCs w:val="24"/>
              </w:rPr>
            </w:pPr>
            <w:r>
              <w:rPr>
                <w:rFonts w:hint="eastAsia" w:ascii="仿宋" w:hAnsi="仿宋" w:eastAsia="仿宋" w:cs="宋体"/>
                <w:b/>
                <w:bCs/>
                <w:color w:val="000000"/>
                <w:kern w:val="0"/>
                <w:sz w:val="24"/>
                <w:szCs w:val="24"/>
              </w:rPr>
              <w:t>31</w:t>
            </w:r>
          </w:p>
        </w:tc>
        <w:tc>
          <w:tcPr>
            <w:tcW w:w="1043"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医学与公共服务学院</w:t>
            </w:r>
          </w:p>
        </w:tc>
        <w:tc>
          <w:tcPr>
            <w:tcW w:w="533"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520201</w:t>
            </w:r>
          </w:p>
        </w:tc>
        <w:tc>
          <w:tcPr>
            <w:tcW w:w="1145"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护理</w:t>
            </w:r>
          </w:p>
        </w:tc>
        <w:tc>
          <w:tcPr>
            <w:tcW w:w="739"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2019年9月</w:t>
            </w:r>
          </w:p>
        </w:tc>
        <w:tc>
          <w:tcPr>
            <w:tcW w:w="1212"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校级重点</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jc w:val="center"/>
        </w:trPr>
        <w:tc>
          <w:tcPr>
            <w:tcW w:w="329"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bCs/>
                <w:color w:val="000000"/>
                <w:kern w:val="0"/>
                <w:sz w:val="24"/>
                <w:szCs w:val="24"/>
              </w:rPr>
            </w:pPr>
            <w:r>
              <w:rPr>
                <w:rFonts w:hint="eastAsia" w:ascii="仿宋" w:hAnsi="仿宋" w:eastAsia="仿宋" w:cs="宋体"/>
                <w:b/>
                <w:bCs/>
                <w:color w:val="000000"/>
                <w:kern w:val="0"/>
                <w:sz w:val="24"/>
                <w:szCs w:val="24"/>
              </w:rPr>
              <w:t>32</w:t>
            </w:r>
          </w:p>
        </w:tc>
        <w:tc>
          <w:tcPr>
            <w:tcW w:w="1043"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医学与公共服务学院</w:t>
            </w:r>
          </w:p>
        </w:tc>
        <w:tc>
          <w:tcPr>
            <w:tcW w:w="533"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490208</w:t>
            </w:r>
          </w:p>
        </w:tc>
        <w:tc>
          <w:tcPr>
            <w:tcW w:w="1145"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药品经营与管理</w:t>
            </w:r>
          </w:p>
        </w:tc>
        <w:tc>
          <w:tcPr>
            <w:tcW w:w="739"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2021年9月</w:t>
            </w:r>
          </w:p>
        </w:tc>
        <w:tc>
          <w:tcPr>
            <w:tcW w:w="1212"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　</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jc w:val="center"/>
        </w:trPr>
        <w:tc>
          <w:tcPr>
            <w:tcW w:w="329"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b/>
                <w:bCs/>
                <w:color w:val="000000"/>
                <w:kern w:val="0"/>
                <w:sz w:val="24"/>
                <w:szCs w:val="24"/>
              </w:rPr>
            </w:pPr>
            <w:r>
              <w:rPr>
                <w:rFonts w:hint="eastAsia" w:ascii="仿宋" w:hAnsi="仿宋" w:eastAsia="仿宋" w:cs="宋体"/>
                <w:b/>
                <w:bCs/>
                <w:color w:val="000000"/>
                <w:kern w:val="0"/>
                <w:sz w:val="24"/>
                <w:szCs w:val="24"/>
              </w:rPr>
              <w:t>33</w:t>
            </w:r>
          </w:p>
        </w:tc>
        <w:tc>
          <w:tcPr>
            <w:tcW w:w="1043"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医学与公共服务学院</w:t>
            </w:r>
          </w:p>
        </w:tc>
        <w:tc>
          <w:tcPr>
            <w:tcW w:w="533"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520801</w:t>
            </w:r>
          </w:p>
        </w:tc>
        <w:tc>
          <w:tcPr>
            <w:tcW w:w="1145"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健康管理</w:t>
            </w:r>
          </w:p>
        </w:tc>
        <w:tc>
          <w:tcPr>
            <w:tcW w:w="739"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2021年9月</w:t>
            </w:r>
          </w:p>
        </w:tc>
        <w:tc>
          <w:tcPr>
            <w:tcW w:w="1212"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　</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jc w:val="center"/>
        </w:trPr>
        <w:tc>
          <w:tcPr>
            <w:tcW w:w="329"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bCs/>
                <w:color w:val="000000"/>
                <w:kern w:val="0"/>
                <w:sz w:val="24"/>
                <w:szCs w:val="24"/>
              </w:rPr>
            </w:pPr>
            <w:r>
              <w:rPr>
                <w:rFonts w:hint="eastAsia" w:ascii="仿宋" w:hAnsi="仿宋" w:eastAsia="仿宋" w:cs="宋体"/>
                <w:b/>
                <w:bCs/>
                <w:color w:val="000000"/>
                <w:kern w:val="0"/>
                <w:sz w:val="24"/>
                <w:szCs w:val="24"/>
              </w:rPr>
              <w:t>34</w:t>
            </w:r>
          </w:p>
        </w:tc>
        <w:tc>
          <w:tcPr>
            <w:tcW w:w="1043"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医学与公共服务学院</w:t>
            </w:r>
          </w:p>
        </w:tc>
        <w:tc>
          <w:tcPr>
            <w:tcW w:w="533"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520803</w:t>
            </w:r>
          </w:p>
        </w:tc>
        <w:tc>
          <w:tcPr>
            <w:tcW w:w="1145"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老年保健与管理</w:t>
            </w:r>
          </w:p>
        </w:tc>
        <w:tc>
          <w:tcPr>
            <w:tcW w:w="739"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2021年9月</w:t>
            </w:r>
          </w:p>
        </w:tc>
        <w:tc>
          <w:tcPr>
            <w:tcW w:w="1212"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　</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jc w:val="center"/>
        </w:trPr>
        <w:tc>
          <w:tcPr>
            <w:tcW w:w="329"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b/>
                <w:bCs/>
                <w:color w:val="000000"/>
                <w:kern w:val="0"/>
                <w:sz w:val="24"/>
                <w:szCs w:val="24"/>
              </w:rPr>
            </w:pPr>
            <w:r>
              <w:rPr>
                <w:rFonts w:hint="eastAsia" w:ascii="仿宋" w:hAnsi="仿宋" w:eastAsia="仿宋" w:cs="宋体"/>
                <w:b/>
                <w:bCs/>
                <w:color w:val="000000"/>
                <w:kern w:val="0"/>
                <w:sz w:val="24"/>
                <w:szCs w:val="24"/>
              </w:rPr>
              <w:t>35</w:t>
            </w:r>
          </w:p>
        </w:tc>
        <w:tc>
          <w:tcPr>
            <w:tcW w:w="1043"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人文社会科学学院</w:t>
            </w:r>
          </w:p>
        </w:tc>
        <w:tc>
          <w:tcPr>
            <w:tcW w:w="533"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570202</w:t>
            </w:r>
          </w:p>
        </w:tc>
        <w:tc>
          <w:tcPr>
            <w:tcW w:w="1145"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应用英语</w:t>
            </w:r>
          </w:p>
        </w:tc>
        <w:tc>
          <w:tcPr>
            <w:tcW w:w="739"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2008年9月</w:t>
            </w:r>
          </w:p>
        </w:tc>
        <w:tc>
          <w:tcPr>
            <w:tcW w:w="1212"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　</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jc w:val="center"/>
        </w:trPr>
        <w:tc>
          <w:tcPr>
            <w:tcW w:w="329"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bCs/>
                <w:color w:val="000000"/>
                <w:kern w:val="0"/>
                <w:sz w:val="24"/>
                <w:szCs w:val="24"/>
              </w:rPr>
            </w:pPr>
            <w:r>
              <w:rPr>
                <w:rFonts w:hint="eastAsia" w:ascii="仿宋" w:hAnsi="仿宋" w:eastAsia="仿宋" w:cs="宋体"/>
                <w:b/>
                <w:bCs/>
                <w:color w:val="000000"/>
                <w:kern w:val="0"/>
                <w:sz w:val="24"/>
                <w:szCs w:val="24"/>
              </w:rPr>
              <w:t>36</w:t>
            </w:r>
          </w:p>
        </w:tc>
        <w:tc>
          <w:tcPr>
            <w:tcW w:w="1043"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人文社会科学学院</w:t>
            </w:r>
          </w:p>
        </w:tc>
        <w:tc>
          <w:tcPr>
            <w:tcW w:w="533"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570206</w:t>
            </w:r>
          </w:p>
        </w:tc>
        <w:tc>
          <w:tcPr>
            <w:tcW w:w="1145"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应用日语</w:t>
            </w:r>
          </w:p>
        </w:tc>
        <w:tc>
          <w:tcPr>
            <w:tcW w:w="739"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2008年9月</w:t>
            </w:r>
          </w:p>
        </w:tc>
        <w:tc>
          <w:tcPr>
            <w:tcW w:w="1212"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　</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jc w:val="center"/>
        </w:trPr>
        <w:tc>
          <w:tcPr>
            <w:tcW w:w="329"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b/>
                <w:bCs/>
                <w:color w:val="000000"/>
                <w:kern w:val="0"/>
                <w:sz w:val="24"/>
                <w:szCs w:val="24"/>
              </w:rPr>
            </w:pPr>
            <w:r>
              <w:rPr>
                <w:rFonts w:hint="eastAsia" w:ascii="仿宋" w:hAnsi="仿宋" w:eastAsia="仿宋" w:cs="宋体"/>
                <w:b/>
                <w:bCs/>
                <w:color w:val="000000"/>
                <w:kern w:val="0"/>
                <w:sz w:val="24"/>
                <w:szCs w:val="24"/>
              </w:rPr>
              <w:t>37</w:t>
            </w:r>
          </w:p>
        </w:tc>
        <w:tc>
          <w:tcPr>
            <w:tcW w:w="1043"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人文社会科学学院</w:t>
            </w:r>
          </w:p>
        </w:tc>
        <w:tc>
          <w:tcPr>
            <w:tcW w:w="533"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550202</w:t>
            </w:r>
          </w:p>
        </w:tc>
        <w:tc>
          <w:tcPr>
            <w:tcW w:w="1145"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舞蹈表演</w:t>
            </w:r>
          </w:p>
        </w:tc>
        <w:tc>
          <w:tcPr>
            <w:tcW w:w="739"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2020年9月</w:t>
            </w:r>
          </w:p>
        </w:tc>
        <w:tc>
          <w:tcPr>
            <w:tcW w:w="1212" w:type="pc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　</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jc w:val="center"/>
        </w:trPr>
        <w:tc>
          <w:tcPr>
            <w:tcW w:w="329"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bCs/>
                <w:color w:val="000000"/>
                <w:kern w:val="0"/>
                <w:sz w:val="24"/>
                <w:szCs w:val="24"/>
              </w:rPr>
            </w:pPr>
            <w:r>
              <w:rPr>
                <w:rFonts w:hint="eastAsia" w:ascii="仿宋" w:hAnsi="仿宋" w:eastAsia="仿宋" w:cs="宋体"/>
                <w:b/>
                <w:bCs/>
                <w:color w:val="000000"/>
                <w:kern w:val="0"/>
                <w:sz w:val="24"/>
                <w:szCs w:val="24"/>
              </w:rPr>
              <w:t>38</w:t>
            </w:r>
          </w:p>
        </w:tc>
        <w:tc>
          <w:tcPr>
            <w:tcW w:w="1043"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人文社会科学学院</w:t>
            </w:r>
          </w:p>
        </w:tc>
        <w:tc>
          <w:tcPr>
            <w:tcW w:w="533"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570302</w:t>
            </w:r>
          </w:p>
        </w:tc>
        <w:tc>
          <w:tcPr>
            <w:tcW w:w="1145"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休闲体育</w:t>
            </w:r>
          </w:p>
        </w:tc>
        <w:tc>
          <w:tcPr>
            <w:tcW w:w="739"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2020年9月</w:t>
            </w:r>
          </w:p>
        </w:tc>
        <w:tc>
          <w:tcPr>
            <w:tcW w:w="1212" w:type="pct"/>
            <w:tcBorders>
              <w:top w:val="single" w:color="4F81BD" w:sz="8" w:space="0"/>
              <w:left w:val="single" w:color="4F81BD" w:sz="8" w:space="0"/>
              <w:bottom w:val="single" w:color="4F81BD" w:sz="8" w:space="0"/>
              <w:right w:val="single" w:color="4F81BD" w:sz="8" w:space="0"/>
            </w:tcBorders>
            <w:shd w:val="clear" w:color="auto" w:fill="FFFFFF"/>
            <w:noWrap/>
            <w:vAlign w:val="center"/>
          </w:tcPr>
          <w:p>
            <w:pPr>
              <w:keepNext/>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　</w:t>
            </w:r>
          </w:p>
        </w:tc>
      </w:tr>
    </w:tbl>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发挥专业（群）建设在育人工程中的基础性作用，学校重视省、市、校三级重点专业、品牌专业建设，充分</w:t>
      </w:r>
      <w:r>
        <w:rPr>
          <w:rFonts w:ascii="仿宋" w:hAnsi="仿宋" w:eastAsia="仿宋"/>
          <w:sz w:val="28"/>
          <w:szCs w:val="28"/>
        </w:rPr>
        <w:t>发挥该校</w:t>
      </w:r>
      <w:r>
        <w:rPr>
          <w:rFonts w:hint="eastAsia" w:ascii="仿宋" w:hAnsi="仿宋" w:eastAsia="仿宋"/>
          <w:sz w:val="28"/>
          <w:szCs w:val="28"/>
        </w:rPr>
        <w:t>软件技术江苏省高等职业教育高水平专业（群）的示范带动作用，提高重点专业与专业群的建设质量。继信息与软件学院“软件技术”获批省级骨干专业，“移动互联应用技术”获批市级特色专业以后，艺术与建筑学院的“环境艺术设计专业”成功获批苏州市第二批品牌专业。本学年国际商学院的电子商务专业获批</w:t>
      </w:r>
      <w:r>
        <w:rPr>
          <w:rFonts w:ascii="仿宋" w:hAnsi="仿宋" w:eastAsia="仿宋"/>
          <w:sz w:val="28"/>
          <w:szCs w:val="28"/>
        </w:rPr>
        <w:t>苏州市第四批品牌专业建设点立项</w:t>
      </w:r>
      <w:r>
        <w:rPr>
          <w:rFonts w:hint="eastAsia" w:ascii="仿宋" w:hAnsi="仿宋" w:eastAsia="仿宋"/>
          <w:sz w:val="28"/>
          <w:szCs w:val="28"/>
        </w:rPr>
        <w:t>。目前该校立项建设校级重点专业群4个（见表2.2）；持续建设并不断完善专业实训实验条件，本学年新建实验实训室1</w:t>
      </w:r>
      <w:r>
        <w:rPr>
          <w:rFonts w:ascii="仿宋" w:hAnsi="仿宋" w:eastAsia="仿宋"/>
          <w:sz w:val="28"/>
          <w:szCs w:val="28"/>
        </w:rPr>
        <w:t>6</w:t>
      </w:r>
      <w:r>
        <w:rPr>
          <w:rFonts w:hint="eastAsia" w:ascii="仿宋" w:hAnsi="仿宋" w:eastAsia="仿宋"/>
          <w:sz w:val="28"/>
          <w:szCs w:val="28"/>
        </w:rPr>
        <w:t>个，近三年新增校内实验实训室4</w:t>
      </w:r>
      <w:r>
        <w:rPr>
          <w:rFonts w:ascii="仿宋" w:hAnsi="仿宋" w:eastAsia="仿宋"/>
          <w:sz w:val="28"/>
          <w:szCs w:val="28"/>
        </w:rPr>
        <w:t>8</w:t>
      </w:r>
      <w:r>
        <w:rPr>
          <w:rFonts w:hint="eastAsia" w:ascii="仿宋" w:hAnsi="仿宋" w:eastAsia="仿宋"/>
          <w:sz w:val="28"/>
          <w:szCs w:val="28"/>
        </w:rPr>
        <w:t>个（见表2.4）。该校立项建设的苏州重点项目无人机重点实验室已完成验收。</w:t>
      </w:r>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该校的重点专业（群）和品牌专业建设注重特色发展、融合发展和持续发展。也通过打造专业品牌及影响，起到了辐射示范作用。此前的</w:t>
      </w:r>
      <w:r>
        <w:rPr>
          <w:rFonts w:ascii="仿宋" w:hAnsi="仿宋" w:eastAsia="仿宋"/>
          <w:sz w:val="28"/>
          <w:szCs w:val="28"/>
        </w:rPr>
        <w:t>“基于产教深度融合的移动互联技术软件测试及开发课程建设研究与实</w:t>
      </w:r>
      <w:r>
        <w:rPr>
          <w:rFonts w:hint="eastAsia" w:ascii="仿宋" w:hAnsi="仿宋" w:eastAsia="仿宋"/>
          <w:sz w:val="28"/>
          <w:szCs w:val="28"/>
        </w:rPr>
        <w:t>践”获苏州市教育教学成果一等奖，《以软件技术为核心的新一代信息技术应用型人才培养模式实践与成效》项目荣获江苏省教学成果奖高等教育类二等奖。在2020年省教育厅组织的全省高等职业教育高水平专业群建设申报工作中，该校“软件技术”专业群获批江苏省高职教育高水平专业群立项。目前，</w:t>
      </w:r>
      <w:r>
        <w:rPr>
          <w:rFonts w:ascii="仿宋" w:hAnsi="仿宋" w:eastAsia="仿宋"/>
          <w:sz w:val="28"/>
          <w:szCs w:val="28"/>
        </w:rPr>
        <w:t>学校已拥有1个省</w:t>
      </w:r>
      <w:r>
        <w:rPr>
          <w:rFonts w:hint="eastAsia" w:ascii="仿宋" w:hAnsi="仿宋" w:eastAsia="仿宋"/>
          <w:sz w:val="28"/>
          <w:szCs w:val="28"/>
        </w:rPr>
        <w:t>高水平</w:t>
      </w:r>
      <w:r>
        <w:rPr>
          <w:rFonts w:ascii="仿宋" w:hAnsi="仿宋" w:eastAsia="仿宋"/>
          <w:sz w:val="28"/>
          <w:szCs w:val="28"/>
        </w:rPr>
        <w:t>专业（群），1个省高水平骨干专业，2个市品牌专业、1个市优秀新专业，</w:t>
      </w:r>
      <w:r>
        <w:rPr>
          <w:rFonts w:hint="eastAsia" w:ascii="仿宋" w:hAnsi="仿宋" w:eastAsia="仿宋"/>
          <w:sz w:val="28"/>
          <w:szCs w:val="28"/>
        </w:rPr>
        <w:t>2个校级品牌专业，10个校级重点专业，4个校级重点专业群。</w:t>
      </w:r>
    </w:p>
    <w:p>
      <w:pPr>
        <w:adjustRightInd w:val="0"/>
        <w:snapToGrid w:val="0"/>
        <w:spacing w:line="360" w:lineRule="auto"/>
        <w:jc w:val="center"/>
        <w:rPr>
          <w:rFonts w:ascii="仿宋_GB2312" w:eastAsia="仿宋_GB2312" w:hAnsiTheme="minorEastAsia"/>
          <w:b/>
          <w:sz w:val="24"/>
          <w:szCs w:val="24"/>
        </w:rPr>
      </w:pPr>
      <w:bookmarkStart w:id="130" w:name="_Toc124170643"/>
      <w:bookmarkStart w:id="131" w:name="_Hlk121992835"/>
      <w:r>
        <w:rPr>
          <w:rFonts w:hint="eastAsia" w:ascii="仿宋_GB2312" w:eastAsia="仿宋_GB2312" w:hAnsiTheme="minorEastAsia"/>
          <w:b/>
          <w:sz w:val="24"/>
          <w:szCs w:val="24"/>
        </w:rPr>
        <w:t xml:space="preserve">表2. </w:t>
      </w:r>
      <w:r>
        <w:rPr>
          <w:rFonts w:ascii="仿宋_GB2312" w:eastAsia="仿宋_GB2312" w:hAnsiTheme="minorEastAsia"/>
          <w:b/>
          <w:sz w:val="24"/>
          <w:szCs w:val="24"/>
        </w:rPr>
        <w:fldChar w:fldCharType="begin"/>
      </w:r>
      <w:r>
        <w:rPr>
          <w:rFonts w:ascii="仿宋_GB2312" w:eastAsia="仿宋_GB2312" w:hAnsiTheme="minorEastAsia"/>
          <w:b/>
          <w:sz w:val="24"/>
          <w:szCs w:val="24"/>
        </w:rPr>
        <w:instrText xml:space="preserve"> </w:instrText>
      </w:r>
      <w:r>
        <w:rPr>
          <w:rFonts w:hint="eastAsia" w:ascii="仿宋_GB2312" w:eastAsia="仿宋_GB2312" w:hAnsiTheme="minorEastAsia"/>
          <w:b/>
          <w:sz w:val="24"/>
          <w:szCs w:val="24"/>
        </w:rPr>
        <w:instrText xml:space="preserve">SEQ 表2. \* ARABIC</w:instrText>
      </w:r>
      <w:r>
        <w:rPr>
          <w:rFonts w:ascii="仿宋_GB2312" w:eastAsia="仿宋_GB2312" w:hAnsiTheme="minorEastAsia"/>
          <w:b/>
          <w:sz w:val="24"/>
          <w:szCs w:val="24"/>
        </w:rPr>
        <w:instrText xml:space="preserve"> </w:instrText>
      </w:r>
      <w:r>
        <w:rPr>
          <w:rFonts w:ascii="仿宋_GB2312" w:eastAsia="仿宋_GB2312" w:hAnsiTheme="minorEastAsia"/>
          <w:b/>
          <w:sz w:val="24"/>
          <w:szCs w:val="24"/>
        </w:rPr>
        <w:fldChar w:fldCharType="separate"/>
      </w:r>
      <w:r>
        <w:rPr>
          <w:rFonts w:ascii="仿宋_GB2312" w:eastAsia="仿宋_GB2312" w:hAnsiTheme="minorEastAsia"/>
          <w:b/>
          <w:sz w:val="24"/>
          <w:szCs w:val="24"/>
        </w:rPr>
        <w:t>2</w:t>
      </w:r>
      <w:r>
        <w:rPr>
          <w:rFonts w:ascii="仿宋_GB2312" w:eastAsia="仿宋_GB2312" w:hAnsiTheme="minorEastAsia"/>
          <w:b/>
          <w:sz w:val="24"/>
          <w:szCs w:val="24"/>
        </w:rPr>
        <w:fldChar w:fldCharType="end"/>
      </w:r>
      <w:r>
        <w:rPr>
          <w:rFonts w:ascii="仿宋_GB2312" w:eastAsia="仿宋_GB2312" w:hAnsiTheme="minorEastAsia"/>
          <w:b/>
          <w:sz w:val="24"/>
          <w:szCs w:val="24"/>
        </w:rPr>
        <w:t xml:space="preserve">  2022</w:t>
      </w:r>
      <w:r>
        <w:rPr>
          <w:rFonts w:hint="eastAsia" w:ascii="仿宋_GB2312" w:eastAsia="仿宋_GB2312" w:hAnsiTheme="minorEastAsia"/>
          <w:b/>
          <w:sz w:val="24"/>
          <w:szCs w:val="24"/>
        </w:rPr>
        <w:t>年专业群分布一览表</w:t>
      </w:r>
      <w:bookmarkEnd w:id="130"/>
    </w:p>
    <w:bookmarkEnd w:id="131"/>
    <w:tbl>
      <w:tblPr>
        <w:tblStyle w:val="62"/>
        <w:tblW w:w="8930" w:type="dxa"/>
        <w:jc w:val="center"/>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Layout w:type="autofit"/>
        <w:tblCellMar>
          <w:top w:w="0" w:type="dxa"/>
          <w:left w:w="108" w:type="dxa"/>
          <w:bottom w:w="0" w:type="dxa"/>
          <w:right w:w="108" w:type="dxa"/>
        </w:tblCellMar>
      </w:tblPr>
      <w:tblGrid>
        <w:gridCol w:w="709"/>
        <w:gridCol w:w="2623"/>
        <w:gridCol w:w="1346"/>
        <w:gridCol w:w="2268"/>
        <w:gridCol w:w="1984"/>
      </w:tblGrid>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450" w:hRule="atLeast"/>
          <w:jc w:val="center"/>
        </w:trPr>
        <w:tc>
          <w:tcPr>
            <w:tcW w:w="709" w:type="dxa"/>
            <w:tcBorders>
              <w:top w:val="single" w:color="CCE8CF" w:themeColor="background1" w:sz="4" w:space="0"/>
              <w:left w:val="single" w:color="CCE8CF" w:themeColor="background1" w:sz="4" w:space="0"/>
              <w:right w:val="nil"/>
              <w:insideV w:val="nil"/>
            </w:tcBorders>
            <w:shd w:val="clear" w:color="auto" w:fill="5B9BD5" w:themeFill="accent5"/>
            <w:noWrap/>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序号</w:t>
            </w:r>
          </w:p>
        </w:tc>
        <w:tc>
          <w:tcPr>
            <w:tcW w:w="2623" w:type="dxa"/>
            <w:tcBorders>
              <w:top w:val="single" w:color="CCE8CF" w:themeColor="background1" w:sz="4" w:space="0"/>
              <w:right w:val="nil"/>
              <w:insideV w:val="nil"/>
            </w:tcBorders>
            <w:shd w:val="clear" w:color="auto" w:fill="5B9BD5" w:themeFill="accent5"/>
            <w:noWrap/>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专业群名称</w:t>
            </w:r>
          </w:p>
        </w:tc>
        <w:tc>
          <w:tcPr>
            <w:tcW w:w="1346" w:type="dxa"/>
            <w:tcBorders>
              <w:top w:val="single" w:color="CCE8CF" w:themeColor="background1" w:sz="4" w:space="0"/>
              <w:right w:val="nil"/>
              <w:insideV w:val="nil"/>
            </w:tcBorders>
            <w:shd w:val="clear" w:color="auto" w:fill="5B9BD5" w:themeFill="accent5"/>
            <w:noWrap/>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专业群负责人</w:t>
            </w:r>
          </w:p>
        </w:tc>
        <w:tc>
          <w:tcPr>
            <w:tcW w:w="2268" w:type="dxa"/>
            <w:tcBorders>
              <w:top w:val="single" w:color="CCE8CF" w:themeColor="background1" w:sz="4" w:space="0"/>
              <w:right w:val="nil"/>
              <w:insideV w:val="nil"/>
            </w:tcBorders>
            <w:shd w:val="clear" w:color="auto" w:fill="5B9BD5" w:themeFill="accent5"/>
            <w:noWrap/>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群内包含专业</w:t>
            </w:r>
          </w:p>
        </w:tc>
        <w:tc>
          <w:tcPr>
            <w:tcW w:w="1984" w:type="dxa"/>
            <w:tcBorders>
              <w:top w:val="single" w:color="CCE8CF" w:themeColor="background1" w:sz="4" w:space="0"/>
              <w:right w:val="single" w:color="CCE8CF" w:themeColor="background1" w:sz="4" w:space="0"/>
              <w:insideV w:val="nil"/>
            </w:tcBorders>
            <w:shd w:val="clear" w:color="auto" w:fill="5B9BD5" w:themeFill="accent5"/>
            <w:noWrap/>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备注</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402" w:hRule="atLeast"/>
          <w:jc w:val="center"/>
        </w:trPr>
        <w:tc>
          <w:tcPr>
            <w:tcW w:w="709" w:type="dxa"/>
            <w:vMerge w:val="restart"/>
            <w:tcBorders>
              <w:left w:val="single" w:color="CCE8CF" w:themeColor="background1" w:sz="4" w:space="0"/>
            </w:tcBorders>
            <w:shd w:val="clear" w:color="auto" w:fill="5B9BD5" w:themeFill="accent5"/>
            <w:noWrap/>
            <w:vAlign w:val="center"/>
          </w:tcPr>
          <w:p>
            <w:pPr>
              <w:widowControl/>
              <w:jc w:val="center"/>
              <w:rPr>
                <w:rFonts w:ascii="仿宋" w:hAnsi="仿宋" w:eastAsia="仿宋" w:cs="宋体"/>
                <w:b w:val="0"/>
                <w:bCs w:val="0"/>
                <w:color w:val="CCE8CF" w:themeColor="background1"/>
                <w:kern w:val="0"/>
                <w:sz w:val="24"/>
                <w:szCs w:val="24"/>
              </w:rPr>
            </w:pPr>
            <w:r>
              <w:rPr>
                <w:rFonts w:hint="eastAsia" w:ascii="仿宋" w:hAnsi="仿宋" w:eastAsia="仿宋" w:cs="宋体"/>
                <w:b/>
                <w:bCs/>
                <w:color w:val="CCE8CF" w:themeColor="background1"/>
                <w:kern w:val="0"/>
                <w:sz w:val="24"/>
                <w:szCs w:val="24"/>
              </w:rPr>
              <w:t>1</w:t>
            </w:r>
          </w:p>
        </w:tc>
        <w:tc>
          <w:tcPr>
            <w:tcW w:w="2623" w:type="dxa"/>
            <w:vMerge w:val="restart"/>
            <w:shd w:val="clear" w:color="auto" w:fill="B4C6E7" w:themeFill="accent1" w:themeFillTint="66"/>
            <w:noWrap/>
            <w:vAlign w:val="center"/>
          </w:tcPr>
          <w:p>
            <w:pPr>
              <w:widowControl/>
              <w:jc w:val="center"/>
              <w:rPr>
                <w:rFonts w:ascii="仿宋" w:hAnsi="仿宋" w:eastAsia="仿宋" w:cs="宋体"/>
                <w:kern w:val="0"/>
                <w:sz w:val="24"/>
                <w:szCs w:val="24"/>
              </w:rPr>
            </w:pPr>
            <w:r>
              <w:rPr>
                <w:rFonts w:hint="eastAsia" w:ascii="仿宋" w:hAnsi="仿宋" w:eastAsia="仿宋" w:cs="宋体"/>
                <w:kern w:val="0"/>
                <w:sz w:val="24"/>
                <w:szCs w:val="24"/>
              </w:rPr>
              <w:t>软件技术专业群</w:t>
            </w:r>
          </w:p>
        </w:tc>
        <w:tc>
          <w:tcPr>
            <w:tcW w:w="1346" w:type="dxa"/>
            <w:vMerge w:val="restart"/>
            <w:shd w:val="clear" w:color="auto" w:fill="B4C6E7" w:themeFill="accent1" w:themeFillTint="66"/>
            <w:noWrap/>
            <w:vAlign w:val="center"/>
          </w:tcPr>
          <w:p>
            <w:pPr>
              <w:widowControl/>
              <w:jc w:val="center"/>
              <w:rPr>
                <w:rFonts w:ascii="仿宋" w:hAnsi="仿宋" w:eastAsia="仿宋" w:cs="宋体"/>
                <w:kern w:val="0"/>
                <w:sz w:val="24"/>
                <w:szCs w:val="24"/>
              </w:rPr>
            </w:pPr>
            <w:r>
              <w:rPr>
                <w:rFonts w:hint="eastAsia" w:ascii="仿宋" w:hAnsi="仿宋" w:eastAsia="仿宋" w:cs="宋体"/>
                <w:kern w:val="0"/>
                <w:sz w:val="24"/>
                <w:szCs w:val="24"/>
              </w:rPr>
              <w:t>李月峰</w:t>
            </w:r>
          </w:p>
        </w:tc>
        <w:tc>
          <w:tcPr>
            <w:tcW w:w="2268" w:type="dxa"/>
            <w:shd w:val="clear" w:color="auto" w:fill="B4C6E7" w:themeFill="accent1" w:themeFillTint="66"/>
            <w:noWrap/>
            <w:vAlign w:val="center"/>
          </w:tcPr>
          <w:p>
            <w:pPr>
              <w:widowControl/>
              <w:jc w:val="center"/>
              <w:rPr>
                <w:rFonts w:ascii="仿宋" w:hAnsi="仿宋" w:eastAsia="仿宋" w:cs="宋体"/>
                <w:kern w:val="0"/>
                <w:sz w:val="24"/>
                <w:szCs w:val="24"/>
              </w:rPr>
            </w:pPr>
            <w:r>
              <w:rPr>
                <w:rFonts w:hint="eastAsia" w:ascii="仿宋" w:hAnsi="仿宋" w:eastAsia="仿宋" w:cs="宋体"/>
                <w:kern w:val="0"/>
                <w:sz w:val="24"/>
                <w:szCs w:val="24"/>
              </w:rPr>
              <w:t>软件技术*</w:t>
            </w:r>
          </w:p>
        </w:tc>
        <w:tc>
          <w:tcPr>
            <w:tcW w:w="1984" w:type="dxa"/>
            <w:vMerge w:val="restart"/>
            <w:shd w:val="clear" w:color="auto" w:fill="B4C6E7" w:themeFill="accent1" w:themeFillTint="66"/>
            <w:vAlign w:val="center"/>
          </w:tcPr>
          <w:p>
            <w:pPr>
              <w:widowControl/>
              <w:jc w:val="center"/>
              <w:rPr>
                <w:rFonts w:ascii="仿宋" w:hAnsi="仿宋" w:eastAsia="仿宋" w:cs="宋体"/>
                <w:kern w:val="0"/>
                <w:sz w:val="24"/>
                <w:szCs w:val="24"/>
              </w:rPr>
            </w:pPr>
            <w:r>
              <w:rPr>
                <w:rFonts w:hint="eastAsia" w:ascii="仿宋" w:hAnsi="仿宋" w:eastAsia="仿宋" w:cs="宋体"/>
                <w:kern w:val="0"/>
                <w:sz w:val="24"/>
                <w:szCs w:val="24"/>
                <w:shd w:val="clear" w:color="auto" w:fill="B4C6E7" w:themeFill="accent1" w:themeFillTint="66"/>
              </w:rPr>
              <w:t>省高水平专业群</w:t>
            </w:r>
            <w:r>
              <w:rPr>
                <w:rFonts w:hint="eastAsia" w:ascii="仿宋" w:hAnsi="仿宋" w:eastAsia="仿宋" w:cs="宋体"/>
                <w:kern w:val="0"/>
                <w:sz w:val="24"/>
                <w:szCs w:val="24"/>
                <w:shd w:val="clear" w:color="auto" w:fill="B4C6E7" w:themeFill="accent1" w:themeFillTint="66"/>
              </w:rPr>
              <w:br w:type="textWrapping"/>
            </w:r>
            <w:r>
              <w:rPr>
                <w:rFonts w:hint="eastAsia" w:ascii="仿宋" w:hAnsi="仿宋" w:eastAsia="仿宋" w:cs="宋体"/>
                <w:kern w:val="0"/>
                <w:sz w:val="24"/>
                <w:szCs w:val="24"/>
                <w:shd w:val="clear" w:color="auto" w:fill="B4C6E7" w:themeFill="accent1" w:themeFillTint="66"/>
              </w:rPr>
              <w:t>校级重点专业群</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402" w:hRule="atLeast"/>
          <w:jc w:val="center"/>
        </w:trPr>
        <w:tc>
          <w:tcPr>
            <w:tcW w:w="709" w:type="dxa"/>
            <w:vMerge w:val="continue"/>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CCE8CF" w:themeColor="background1"/>
                <w:kern w:val="0"/>
                <w:sz w:val="24"/>
                <w:szCs w:val="24"/>
              </w:rPr>
            </w:pPr>
          </w:p>
        </w:tc>
        <w:tc>
          <w:tcPr>
            <w:tcW w:w="2623" w:type="dxa"/>
            <w:vMerge w:val="continue"/>
            <w:shd w:val="clear" w:color="auto" w:fill="B4C6E7" w:themeFill="accent1" w:themeFillTint="66"/>
            <w:vAlign w:val="center"/>
          </w:tcPr>
          <w:p>
            <w:pPr>
              <w:widowControl/>
              <w:jc w:val="center"/>
              <w:rPr>
                <w:rFonts w:ascii="仿宋" w:hAnsi="仿宋" w:eastAsia="仿宋" w:cs="宋体"/>
                <w:kern w:val="0"/>
                <w:sz w:val="24"/>
                <w:szCs w:val="24"/>
              </w:rPr>
            </w:pPr>
          </w:p>
        </w:tc>
        <w:tc>
          <w:tcPr>
            <w:tcW w:w="1346" w:type="dxa"/>
            <w:vMerge w:val="continue"/>
            <w:shd w:val="clear" w:color="auto" w:fill="B4C6E7" w:themeFill="accent1" w:themeFillTint="66"/>
            <w:vAlign w:val="center"/>
          </w:tcPr>
          <w:p>
            <w:pPr>
              <w:widowControl/>
              <w:jc w:val="center"/>
              <w:rPr>
                <w:rFonts w:ascii="仿宋" w:hAnsi="仿宋" w:eastAsia="仿宋" w:cs="宋体"/>
                <w:kern w:val="0"/>
                <w:sz w:val="24"/>
                <w:szCs w:val="24"/>
              </w:rPr>
            </w:pPr>
          </w:p>
        </w:tc>
        <w:tc>
          <w:tcPr>
            <w:tcW w:w="2268" w:type="dxa"/>
            <w:shd w:val="clear" w:color="auto" w:fill="DEEAF6" w:themeFill="accent5" w:themeFillTint="33"/>
            <w:noWrap/>
            <w:vAlign w:val="center"/>
          </w:tcPr>
          <w:p>
            <w:pPr>
              <w:widowControl/>
              <w:jc w:val="center"/>
              <w:rPr>
                <w:rFonts w:ascii="仿宋" w:hAnsi="仿宋" w:eastAsia="仿宋" w:cs="宋体"/>
                <w:kern w:val="0"/>
                <w:sz w:val="24"/>
                <w:szCs w:val="24"/>
              </w:rPr>
            </w:pPr>
            <w:r>
              <w:rPr>
                <w:rFonts w:hint="eastAsia" w:ascii="仿宋" w:hAnsi="仿宋" w:eastAsia="仿宋" w:cs="宋体"/>
                <w:kern w:val="0"/>
                <w:sz w:val="24"/>
                <w:szCs w:val="24"/>
              </w:rPr>
              <w:t>计算机应用技术</w:t>
            </w:r>
          </w:p>
        </w:tc>
        <w:tc>
          <w:tcPr>
            <w:tcW w:w="1984" w:type="dxa"/>
            <w:vMerge w:val="continue"/>
            <w:shd w:val="clear" w:color="auto" w:fill="B4C6E7" w:themeFill="accent1" w:themeFillTint="66"/>
            <w:vAlign w:val="center"/>
          </w:tcPr>
          <w:p>
            <w:pPr>
              <w:widowControl/>
              <w:jc w:val="center"/>
              <w:rPr>
                <w:rFonts w:ascii="仿宋" w:hAnsi="仿宋" w:eastAsia="仿宋" w:cs="宋体"/>
                <w:kern w:val="0"/>
                <w:sz w:val="24"/>
                <w:szCs w:val="24"/>
              </w:rPr>
            </w:pP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402" w:hRule="atLeast"/>
          <w:jc w:val="center"/>
        </w:trPr>
        <w:tc>
          <w:tcPr>
            <w:tcW w:w="709" w:type="dxa"/>
            <w:vMerge w:val="continue"/>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CCE8CF" w:themeColor="background1"/>
                <w:kern w:val="0"/>
                <w:sz w:val="24"/>
                <w:szCs w:val="24"/>
              </w:rPr>
            </w:pPr>
          </w:p>
        </w:tc>
        <w:tc>
          <w:tcPr>
            <w:tcW w:w="2623" w:type="dxa"/>
            <w:vMerge w:val="continue"/>
            <w:shd w:val="clear" w:color="auto" w:fill="B4C6E7" w:themeFill="accent1" w:themeFillTint="66"/>
            <w:vAlign w:val="center"/>
          </w:tcPr>
          <w:p>
            <w:pPr>
              <w:widowControl/>
              <w:jc w:val="center"/>
              <w:rPr>
                <w:rFonts w:ascii="仿宋" w:hAnsi="仿宋" w:eastAsia="仿宋" w:cs="宋体"/>
                <w:kern w:val="0"/>
                <w:sz w:val="24"/>
                <w:szCs w:val="24"/>
              </w:rPr>
            </w:pPr>
          </w:p>
        </w:tc>
        <w:tc>
          <w:tcPr>
            <w:tcW w:w="1346" w:type="dxa"/>
            <w:vMerge w:val="continue"/>
            <w:shd w:val="clear" w:color="auto" w:fill="B4C6E7" w:themeFill="accent1" w:themeFillTint="66"/>
            <w:vAlign w:val="center"/>
          </w:tcPr>
          <w:p>
            <w:pPr>
              <w:widowControl/>
              <w:jc w:val="center"/>
              <w:rPr>
                <w:rFonts w:ascii="仿宋" w:hAnsi="仿宋" w:eastAsia="仿宋" w:cs="宋体"/>
                <w:kern w:val="0"/>
                <w:sz w:val="24"/>
                <w:szCs w:val="24"/>
              </w:rPr>
            </w:pPr>
          </w:p>
        </w:tc>
        <w:tc>
          <w:tcPr>
            <w:tcW w:w="2268" w:type="dxa"/>
            <w:shd w:val="clear" w:color="auto" w:fill="B4C6E7" w:themeFill="accent1" w:themeFillTint="66"/>
            <w:noWrap/>
            <w:vAlign w:val="center"/>
          </w:tcPr>
          <w:p>
            <w:pPr>
              <w:widowControl/>
              <w:jc w:val="center"/>
              <w:rPr>
                <w:rFonts w:ascii="仿宋" w:hAnsi="仿宋" w:eastAsia="仿宋" w:cs="宋体"/>
                <w:kern w:val="0"/>
                <w:sz w:val="24"/>
                <w:szCs w:val="24"/>
              </w:rPr>
            </w:pPr>
            <w:r>
              <w:rPr>
                <w:rFonts w:hint="eastAsia" w:ascii="仿宋" w:hAnsi="仿宋" w:eastAsia="仿宋" w:cs="宋体"/>
                <w:kern w:val="0"/>
                <w:sz w:val="24"/>
                <w:szCs w:val="24"/>
              </w:rPr>
              <w:t>移动互联应用技术</w:t>
            </w:r>
          </w:p>
        </w:tc>
        <w:tc>
          <w:tcPr>
            <w:tcW w:w="1984" w:type="dxa"/>
            <w:vMerge w:val="continue"/>
            <w:shd w:val="clear" w:color="auto" w:fill="B4C6E7" w:themeFill="accent1" w:themeFillTint="66"/>
            <w:vAlign w:val="center"/>
          </w:tcPr>
          <w:p>
            <w:pPr>
              <w:widowControl/>
              <w:jc w:val="center"/>
              <w:rPr>
                <w:rFonts w:ascii="仿宋" w:hAnsi="仿宋" w:eastAsia="仿宋" w:cs="宋体"/>
                <w:kern w:val="0"/>
                <w:sz w:val="24"/>
                <w:szCs w:val="24"/>
              </w:rPr>
            </w:pP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402" w:hRule="atLeast"/>
          <w:jc w:val="center"/>
        </w:trPr>
        <w:tc>
          <w:tcPr>
            <w:tcW w:w="709" w:type="dxa"/>
            <w:vMerge w:val="continue"/>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CCE8CF" w:themeColor="background1"/>
                <w:kern w:val="0"/>
                <w:sz w:val="24"/>
                <w:szCs w:val="24"/>
              </w:rPr>
            </w:pPr>
          </w:p>
        </w:tc>
        <w:tc>
          <w:tcPr>
            <w:tcW w:w="2623" w:type="dxa"/>
            <w:vMerge w:val="continue"/>
            <w:shd w:val="clear" w:color="auto" w:fill="B4C6E7" w:themeFill="accent1" w:themeFillTint="66"/>
            <w:vAlign w:val="center"/>
          </w:tcPr>
          <w:p>
            <w:pPr>
              <w:widowControl/>
              <w:jc w:val="center"/>
              <w:rPr>
                <w:rFonts w:ascii="仿宋" w:hAnsi="仿宋" w:eastAsia="仿宋" w:cs="宋体"/>
                <w:kern w:val="0"/>
                <w:sz w:val="24"/>
                <w:szCs w:val="24"/>
              </w:rPr>
            </w:pPr>
          </w:p>
        </w:tc>
        <w:tc>
          <w:tcPr>
            <w:tcW w:w="1346" w:type="dxa"/>
            <w:vMerge w:val="continue"/>
            <w:shd w:val="clear" w:color="auto" w:fill="B4C6E7" w:themeFill="accent1" w:themeFillTint="66"/>
            <w:vAlign w:val="center"/>
          </w:tcPr>
          <w:p>
            <w:pPr>
              <w:widowControl/>
              <w:jc w:val="center"/>
              <w:rPr>
                <w:rFonts w:ascii="仿宋" w:hAnsi="仿宋" w:eastAsia="仿宋" w:cs="宋体"/>
                <w:kern w:val="0"/>
                <w:sz w:val="24"/>
                <w:szCs w:val="24"/>
              </w:rPr>
            </w:pPr>
          </w:p>
        </w:tc>
        <w:tc>
          <w:tcPr>
            <w:tcW w:w="2268" w:type="dxa"/>
            <w:shd w:val="clear" w:color="auto" w:fill="DEEAF6" w:themeFill="accent5" w:themeFillTint="33"/>
            <w:noWrap/>
            <w:vAlign w:val="center"/>
          </w:tcPr>
          <w:p>
            <w:pPr>
              <w:widowControl/>
              <w:jc w:val="center"/>
              <w:rPr>
                <w:rFonts w:ascii="仿宋" w:hAnsi="仿宋" w:eastAsia="仿宋" w:cs="宋体"/>
                <w:kern w:val="0"/>
                <w:sz w:val="24"/>
                <w:szCs w:val="24"/>
              </w:rPr>
            </w:pPr>
            <w:r>
              <w:rPr>
                <w:rFonts w:hint="eastAsia" w:ascii="仿宋" w:hAnsi="仿宋" w:eastAsia="仿宋" w:cs="宋体"/>
                <w:kern w:val="0"/>
                <w:sz w:val="24"/>
                <w:szCs w:val="24"/>
              </w:rPr>
              <w:t>大数据技术</w:t>
            </w:r>
          </w:p>
        </w:tc>
        <w:tc>
          <w:tcPr>
            <w:tcW w:w="1984" w:type="dxa"/>
            <w:vMerge w:val="continue"/>
            <w:shd w:val="clear" w:color="auto" w:fill="B4C6E7" w:themeFill="accent1" w:themeFillTint="66"/>
            <w:vAlign w:val="center"/>
          </w:tcPr>
          <w:p>
            <w:pPr>
              <w:widowControl/>
              <w:jc w:val="center"/>
              <w:rPr>
                <w:rFonts w:ascii="仿宋" w:hAnsi="仿宋" w:eastAsia="仿宋" w:cs="宋体"/>
                <w:kern w:val="0"/>
                <w:sz w:val="24"/>
                <w:szCs w:val="24"/>
              </w:rPr>
            </w:pP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402" w:hRule="atLeast"/>
          <w:jc w:val="center"/>
        </w:trPr>
        <w:tc>
          <w:tcPr>
            <w:tcW w:w="709" w:type="dxa"/>
            <w:vMerge w:val="restart"/>
            <w:tcBorders>
              <w:left w:val="single" w:color="CCE8CF" w:themeColor="background1" w:sz="4" w:space="0"/>
            </w:tcBorders>
            <w:shd w:val="clear" w:color="auto" w:fill="5B9BD5" w:themeFill="accent5"/>
            <w:noWrap/>
            <w:vAlign w:val="center"/>
          </w:tcPr>
          <w:p>
            <w:pPr>
              <w:widowControl/>
              <w:jc w:val="center"/>
              <w:rPr>
                <w:rFonts w:ascii="仿宋" w:hAnsi="仿宋" w:eastAsia="仿宋" w:cs="宋体"/>
                <w:b w:val="0"/>
                <w:bCs w:val="0"/>
                <w:color w:val="CCE8CF" w:themeColor="background1"/>
                <w:kern w:val="0"/>
                <w:sz w:val="24"/>
                <w:szCs w:val="24"/>
              </w:rPr>
            </w:pPr>
            <w:r>
              <w:rPr>
                <w:rFonts w:hint="eastAsia" w:ascii="仿宋" w:hAnsi="仿宋" w:eastAsia="仿宋" w:cs="宋体"/>
                <w:b/>
                <w:bCs/>
                <w:color w:val="CCE8CF" w:themeColor="background1"/>
                <w:kern w:val="0"/>
                <w:sz w:val="24"/>
                <w:szCs w:val="24"/>
              </w:rPr>
              <w:t>2</w:t>
            </w:r>
          </w:p>
        </w:tc>
        <w:tc>
          <w:tcPr>
            <w:tcW w:w="2623" w:type="dxa"/>
            <w:vMerge w:val="restart"/>
            <w:shd w:val="clear" w:color="auto" w:fill="DAE3F3" w:themeFill="accent1" w:themeFillTint="32"/>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环境艺术设计专业群</w:t>
            </w:r>
          </w:p>
        </w:tc>
        <w:tc>
          <w:tcPr>
            <w:tcW w:w="1346" w:type="dxa"/>
            <w:vMerge w:val="restart"/>
            <w:shd w:val="clear" w:color="auto" w:fill="DAE3F3" w:themeFill="accent1" w:themeFillTint="32"/>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江水明</w:t>
            </w:r>
          </w:p>
        </w:tc>
        <w:tc>
          <w:tcPr>
            <w:tcW w:w="2268" w:type="dxa"/>
            <w:shd w:val="clear" w:color="auto" w:fill="B4C6E7" w:themeFill="accent1" w:themeFillTint="66"/>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环境艺术设计*</w:t>
            </w:r>
          </w:p>
        </w:tc>
        <w:tc>
          <w:tcPr>
            <w:tcW w:w="1984" w:type="dxa"/>
            <w:vMerge w:val="restart"/>
            <w:shd w:val="clear" w:color="auto" w:fill="DAE3F3" w:themeFill="accent1" w:themeFillTint="32"/>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校级重点专业群</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402" w:hRule="atLeast"/>
          <w:jc w:val="center"/>
        </w:trPr>
        <w:tc>
          <w:tcPr>
            <w:tcW w:w="709" w:type="dxa"/>
            <w:vMerge w:val="continue"/>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CCE8CF" w:themeColor="background1"/>
                <w:kern w:val="0"/>
                <w:sz w:val="24"/>
                <w:szCs w:val="24"/>
              </w:rPr>
            </w:pPr>
          </w:p>
        </w:tc>
        <w:tc>
          <w:tcPr>
            <w:tcW w:w="2623" w:type="dxa"/>
            <w:vMerge w:val="continue"/>
            <w:shd w:val="clear" w:color="auto" w:fill="DAE3F3" w:themeFill="accent1" w:themeFillTint="32"/>
            <w:vAlign w:val="center"/>
          </w:tcPr>
          <w:p>
            <w:pPr>
              <w:widowControl/>
              <w:jc w:val="center"/>
              <w:rPr>
                <w:rFonts w:ascii="仿宋" w:hAnsi="仿宋" w:eastAsia="仿宋" w:cs="宋体"/>
                <w:color w:val="000000"/>
                <w:kern w:val="0"/>
                <w:sz w:val="24"/>
                <w:szCs w:val="24"/>
              </w:rPr>
            </w:pPr>
          </w:p>
        </w:tc>
        <w:tc>
          <w:tcPr>
            <w:tcW w:w="1346" w:type="dxa"/>
            <w:vMerge w:val="continue"/>
            <w:shd w:val="clear" w:color="auto" w:fill="DAE3F3" w:themeFill="accent1" w:themeFillTint="32"/>
            <w:vAlign w:val="center"/>
          </w:tcPr>
          <w:p>
            <w:pPr>
              <w:widowControl/>
              <w:jc w:val="center"/>
              <w:rPr>
                <w:rFonts w:ascii="仿宋" w:hAnsi="仿宋" w:eastAsia="仿宋" w:cs="宋体"/>
                <w:color w:val="000000"/>
                <w:kern w:val="0"/>
                <w:sz w:val="24"/>
                <w:szCs w:val="24"/>
              </w:rPr>
            </w:pPr>
          </w:p>
        </w:tc>
        <w:tc>
          <w:tcPr>
            <w:tcW w:w="2268" w:type="dxa"/>
            <w:shd w:val="clear" w:color="auto" w:fill="DEEAF6" w:themeFill="accent5" w:themeFillTint="33"/>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建筑室内设计</w:t>
            </w:r>
          </w:p>
        </w:tc>
        <w:tc>
          <w:tcPr>
            <w:tcW w:w="1984" w:type="dxa"/>
            <w:vMerge w:val="continue"/>
            <w:shd w:val="clear" w:color="auto" w:fill="DAE3F3" w:themeFill="accent1" w:themeFillTint="32"/>
            <w:vAlign w:val="center"/>
          </w:tcPr>
          <w:p>
            <w:pPr>
              <w:widowControl/>
              <w:jc w:val="center"/>
              <w:rPr>
                <w:rFonts w:ascii="仿宋" w:hAnsi="仿宋" w:eastAsia="仿宋" w:cs="宋体"/>
                <w:color w:val="000000"/>
                <w:kern w:val="0"/>
                <w:sz w:val="24"/>
                <w:szCs w:val="24"/>
              </w:rPr>
            </w:pP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402" w:hRule="atLeast"/>
          <w:jc w:val="center"/>
        </w:trPr>
        <w:tc>
          <w:tcPr>
            <w:tcW w:w="709" w:type="dxa"/>
            <w:vMerge w:val="continue"/>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CCE8CF" w:themeColor="background1"/>
                <w:kern w:val="0"/>
                <w:sz w:val="24"/>
                <w:szCs w:val="24"/>
              </w:rPr>
            </w:pPr>
          </w:p>
        </w:tc>
        <w:tc>
          <w:tcPr>
            <w:tcW w:w="2623" w:type="dxa"/>
            <w:vMerge w:val="continue"/>
            <w:shd w:val="clear" w:color="auto" w:fill="DAE3F3" w:themeFill="accent1" w:themeFillTint="32"/>
            <w:vAlign w:val="center"/>
          </w:tcPr>
          <w:p>
            <w:pPr>
              <w:widowControl/>
              <w:jc w:val="center"/>
              <w:rPr>
                <w:rFonts w:ascii="仿宋" w:hAnsi="仿宋" w:eastAsia="仿宋" w:cs="宋体"/>
                <w:color w:val="000000"/>
                <w:kern w:val="0"/>
                <w:sz w:val="24"/>
                <w:szCs w:val="24"/>
              </w:rPr>
            </w:pPr>
          </w:p>
        </w:tc>
        <w:tc>
          <w:tcPr>
            <w:tcW w:w="1346" w:type="dxa"/>
            <w:vMerge w:val="continue"/>
            <w:shd w:val="clear" w:color="auto" w:fill="DAE3F3" w:themeFill="accent1" w:themeFillTint="32"/>
            <w:vAlign w:val="center"/>
          </w:tcPr>
          <w:p>
            <w:pPr>
              <w:widowControl/>
              <w:jc w:val="center"/>
              <w:rPr>
                <w:rFonts w:ascii="仿宋" w:hAnsi="仿宋" w:eastAsia="仿宋" w:cs="宋体"/>
                <w:color w:val="000000"/>
                <w:kern w:val="0"/>
                <w:sz w:val="24"/>
                <w:szCs w:val="24"/>
              </w:rPr>
            </w:pPr>
          </w:p>
        </w:tc>
        <w:tc>
          <w:tcPr>
            <w:tcW w:w="2268" w:type="dxa"/>
            <w:shd w:val="clear" w:color="auto" w:fill="B4C6E7" w:themeFill="accent1" w:themeFillTint="66"/>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视觉传达设计</w:t>
            </w:r>
          </w:p>
        </w:tc>
        <w:tc>
          <w:tcPr>
            <w:tcW w:w="1984" w:type="dxa"/>
            <w:vMerge w:val="continue"/>
            <w:shd w:val="clear" w:color="auto" w:fill="DAE3F3" w:themeFill="accent1" w:themeFillTint="32"/>
            <w:vAlign w:val="center"/>
          </w:tcPr>
          <w:p>
            <w:pPr>
              <w:widowControl/>
              <w:jc w:val="center"/>
              <w:rPr>
                <w:rFonts w:ascii="仿宋" w:hAnsi="仿宋" w:eastAsia="仿宋" w:cs="宋体"/>
                <w:color w:val="000000"/>
                <w:kern w:val="0"/>
                <w:sz w:val="24"/>
                <w:szCs w:val="24"/>
              </w:rPr>
            </w:pP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402" w:hRule="atLeast"/>
          <w:jc w:val="center"/>
        </w:trPr>
        <w:tc>
          <w:tcPr>
            <w:tcW w:w="709" w:type="dxa"/>
            <w:vMerge w:val="restart"/>
            <w:tcBorders>
              <w:left w:val="single" w:color="CCE8CF" w:themeColor="background1" w:sz="4" w:space="0"/>
            </w:tcBorders>
            <w:shd w:val="clear" w:color="auto" w:fill="5B9BD5" w:themeFill="accent5"/>
            <w:noWrap/>
            <w:vAlign w:val="center"/>
          </w:tcPr>
          <w:p>
            <w:pPr>
              <w:widowControl/>
              <w:jc w:val="center"/>
              <w:rPr>
                <w:rFonts w:ascii="仿宋" w:hAnsi="仿宋" w:eastAsia="仿宋" w:cs="宋体"/>
                <w:b w:val="0"/>
                <w:bCs w:val="0"/>
                <w:color w:val="CCE8CF" w:themeColor="background1"/>
                <w:kern w:val="0"/>
                <w:sz w:val="24"/>
                <w:szCs w:val="24"/>
              </w:rPr>
            </w:pPr>
            <w:r>
              <w:rPr>
                <w:rFonts w:hint="eastAsia" w:ascii="仿宋" w:hAnsi="仿宋" w:eastAsia="仿宋" w:cs="宋体"/>
                <w:b/>
                <w:bCs/>
                <w:color w:val="CCE8CF" w:themeColor="background1"/>
                <w:kern w:val="0"/>
                <w:sz w:val="24"/>
                <w:szCs w:val="24"/>
              </w:rPr>
              <w:t>3</w:t>
            </w:r>
          </w:p>
        </w:tc>
        <w:tc>
          <w:tcPr>
            <w:tcW w:w="2623" w:type="dxa"/>
            <w:vMerge w:val="restart"/>
            <w:shd w:val="clear" w:color="auto" w:fill="B4C6E7" w:themeFill="accent1" w:themeFillTint="66"/>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电子商务专业群</w:t>
            </w:r>
          </w:p>
        </w:tc>
        <w:tc>
          <w:tcPr>
            <w:tcW w:w="1346" w:type="dxa"/>
            <w:vMerge w:val="restart"/>
            <w:shd w:val="clear" w:color="auto" w:fill="B4C6E7" w:themeFill="accent1" w:themeFillTint="66"/>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陆 霞</w:t>
            </w:r>
          </w:p>
        </w:tc>
        <w:tc>
          <w:tcPr>
            <w:tcW w:w="2268" w:type="dxa"/>
            <w:shd w:val="clear" w:color="auto" w:fill="DEEAF6" w:themeFill="accent5" w:themeFillTint="33"/>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电子商务*</w:t>
            </w:r>
          </w:p>
        </w:tc>
        <w:tc>
          <w:tcPr>
            <w:tcW w:w="1984" w:type="dxa"/>
            <w:vMerge w:val="restart"/>
            <w:shd w:val="clear" w:color="auto" w:fill="B4C6E7" w:themeFill="accent1" w:themeFillTint="66"/>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校级重点专业群</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402" w:hRule="atLeast"/>
          <w:jc w:val="center"/>
        </w:trPr>
        <w:tc>
          <w:tcPr>
            <w:tcW w:w="709" w:type="dxa"/>
            <w:vMerge w:val="continue"/>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CCE8CF" w:themeColor="background1"/>
                <w:kern w:val="0"/>
                <w:sz w:val="24"/>
                <w:szCs w:val="24"/>
              </w:rPr>
            </w:pPr>
          </w:p>
        </w:tc>
        <w:tc>
          <w:tcPr>
            <w:tcW w:w="2623" w:type="dxa"/>
            <w:vMerge w:val="continue"/>
            <w:shd w:val="clear" w:color="auto" w:fill="B4C6E7" w:themeFill="accent1" w:themeFillTint="66"/>
            <w:vAlign w:val="center"/>
          </w:tcPr>
          <w:p>
            <w:pPr>
              <w:widowControl/>
              <w:jc w:val="center"/>
              <w:rPr>
                <w:rFonts w:ascii="仿宋" w:hAnsi="仿宋" w:eastAsia="仿宋" w:cs="宋体"/>
                <w:color w:val="000000"/>
                <w:kern w:val="0"/>
                <w:sz w:val="24"/>
                <w:szCs w:val="24"/>
              </w:rPr>
            </w:pPr>
          </w:p>
        </w:tc>
        <w:tc>
          <w:tcPr>
            <w:tcW w:w="1346" w:type="dxa"/>
            <w:vMerge w:val="continue"/>
            <w:shd w:val="clear" w:color="auto" w:fill="B4C6E7" w:themeFill="accent1" w:themeFillTint="66"/>
            <w:vAlign w:val="center"/>
          </w:tcPr>
          <w:p>
            <w:pPr>
              <w:widowControl/>
              <w:jc w:val="center"/>
              <w:rPr>
                <w:rFonts w:ascii="仿宋" w:hAnsi="仿宋" w:eastAsia="仿宋" w:cs="宋体"/>
                <w:color w:val="000000"/>
                <w:kern w:val="0"/>
                <w:sz w:val="24"/>
                <w:szCs w:val="24"/>
              </w:rPr>
            </w:pPr>
          </w:p>
        </w:tc>
        <w:tc>
          <w:tcPr>
            <w:tcW w:w="2268" w:type="dxa"/>
            <w:shd w:val="clear" w:color="auto" w:fill="B4C6E7" w:themeFill="accent1" w:themeFillTint="66"/>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市场营销</w:t>
            </w:r>
          </w:p>
        </w:tc>
        <w:tc>
          <w:tcPr>
            <w:tcW w:w="1984" w:type="dxa"/>
            <w:vMerge w:val="continue"/>
            <w:shd w:val="clear" w:color="auto" w:fill="B4C6E7" w:themeFill="accent1" w:themeFillTint="66"/>
            <w:vAlign w:val="center"/>
          </w:tcPr>
          <w:p>
            <w:pPr>
              <w:widowControl/>
              <w:jc w:val="center"/>
              <w:rPr>
                <w:rFonts w:ascii="仿宋" w:hAnsi="仿宋" w:eastAsia="仿宋" w:cs="宋体"/>
                <w:color w:val="000000"/>
                <w:kern w:val="0"/>
                <w:sz w:val="24"/>
                <w:szCs w:val="24"/>
              </w:rPr>
            </w:pP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402" w:hRule="atLeast"/>
          <w:jc w:val="center"/>
        </w:trPr>
        <w:tc>
          <w:tcPr>
            <w:tcW w:w="709" w:type="dxa"/>
            <w:vMerge w:val="continue"/>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CCE8CF" w:themeColor="background1"/>
                <w:kern w:val="0"/>
                <w:sz w:val="24"/>
                <w:szCs w:val="24"/>
              </w:rPr>
            </w:pPr>
          </w:p>
        </w:tc>
        <w:tc>
          <w:tcPr>
            <w:tcW w:w="2623" w:type="dxa"/>
            <w:vMerge w:val="continue"/>
            <w:shd w:val="clear" w:color="auto" w:fill="B4C6E7" w:themeFill="accent1" w:themeFillTint="66"/>
            <w:vAlign w:val="center"/>
          </w:tcPr>
          <w:p>
            <w:pPr>
              <w:widowControl/>
              <w:jc w:val="center"/>
              <w:rPr>
                <w:rFonts w:ascii="仿宋" w:hAnsi="仿宋" w:eastAsia="仿宋" w:cs="宋体"/>
                <w:color w:val="000000"/>
                <w:kern w:val="0"/>
                <w:sz w:val="24"/>
                <w:szCs w:val="24"/>
              </w:rPr>
            </w:pPr>
          </w:p>
        </w:tc>
        <w:tc>
          <w:tcPr>
            <w:tcW w:w="1346" w:type="dxa"/>
            <w:vMerge w:val="continue"/>
            <w:shd w:val="clear" w:color="auto" w:fill="B4C6E7" w:themeFill="accent1" w:themeFillTint="66"/>
            <w:vAlign w:val="center"/>
          </w:tcPr>
          <w:p>
            <w:pPr>
              <w:widowControl/>
              <w:jc w:val="center"/>
              <w:rPr>
                <w:rFonts w:ascii="仿宋" w:hAnsi="仿宋" w:eastAsia="仿宋" w:cs="宋体"/>
                <w:color w:val="000000"/>
                <w:kern w:val="0"/>
                <w:sz w:val="24"/>
                <w:szCs w:val="24"/>
              </w:rPr>
            </w:pPr>
          </w:p>
        </w:tc>
        <w:tc>
          <w:tcPr>
            <w:tcW w:w="2268" w:type="dxa"/>
            <w:shd w:val="clear" w:color="auto" w:fill="DEEAF6" w:themeFill="accent5" w:themeFillTint="33"/>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国际商务</w:t>
            </w:r>
          </w:p>
        </w:tc>
        <w:tc>
          <w:tcPr>
            <w:tcW w:w="1984" w:type="dxa"/>
            <w:vMerge w:val="continue"/>
            <w:shd w:val="clear" w:color="auto" w:fill="B4C6E7" w:themeFill="accent1" w:themeFillTint="66"/>
            <w:vAlign w:val="center"/>
          </w:tcPr>
          <w:p>
            <w:pPr>
              <w:widowControl/>
              <w:jc w:val="center"/>
              <w:rPr>
                <w:rFonts w:ascii="仿宋" w:hAnsi="仿宋" w:eastAsia="仿宋" w:cs="宋体"/>
                <w:color w:val="000000"/>
                <w:kern w:val="0"/>
                <w:sz w:val="24"/>
                <w:szCs w:val="24"/>
              </w:rPr>
            </w:pP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402" w:hRule="atLeast"/>
          <w:jc w:val="center"/>
        </w:trPr>
        <w:tc>
          <w:tcPr>
            <w:tcW w:w="709" w:type="dxa"/>
            <w:vMerge w:val="continue"/>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CCE8CF" w:themeColor="background1"/>
                <w:kern w:val="0"/>
                <w:sz w:val="24"/>
                <w:szCs w:val="24"/>
              </w:rPr>
            </w:pPr>
          </w:p>
        </w:tc>
        <w:tc>
          <w:tcPr>
            <w:tcW w:w="2623" w:type="dxa"/>
            <w:vMerge w:val="continue"/>
            <w:shd w:val="clear" w:color="auto" w:fill="B4C6E7" w:themeFill="accent1" w:themeFillTint="66"/>
            <w:vAlign w:val="center"/>
          </w:tcPr>
          <w:p>
            <w:pPr>
              <w:widowControl/>
              <w:jc w:val="center"/>
              <w:rPr>
                <w:rFonts w:ascii="仿宋" w:hAnsi="仿宋" w:eastAsia="仿宋" w:cs="宋体"/>
                <w:color w:val="000000"/>
                <w:kern w:val="0"/>
                <w:sz w:val="24"/>
                <w:szCs w:val="24"/>
              </w:rPr>
            </w:pPr>
          </w:p>
        </w:tc>
        <w:tc>
          <w:tcPr>
            <w:tcW w:w="1346" w:type="dxa"/>
            <w:vMerge w:val="continue"/>
            <w:shd w:val="clear" w:color="auto" w:fill="B4C6E7" w:themeFill="accent1" w:themeFillTint="66"/>
            <w:vAlign w:val="center"/>
          </w:tcPr>
          <w:p>
            <w:pPr>
              <w:widowControl/>
              <w:jc w:val="center"/>
              <w:rPr>
                <w:rFonts w:ascii="仿宋" w:hAnsi="仿宋" w:eastAsia="仿宋" w:cs="宋体"/>
                <w:color w:val="000000"/>
                <w:kern w:val="0"/>
                <w:sz w:val="24"/>
                <w:szCs w:val="24"/>
              </w:rPr>
            </w:pPr>
          </w:p>
        </w:tc>
        <w:tc>
          <w:tcPr>
            <w:tcW w:w="2268" w:type="dxa"/>
            <w:shd w:val="clear" w:color="auto" w:fill="B4C6E7" w:themeFill="accent1" w:themeFillTint="66"/>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应用英语</w:t>
            </w:r>
          </w:p>
        </w:tc>
        <w:tc>
          <w:tcPr>
            <w:tcW w:w="1984" w:type="dxa"/>
            <w:vMerge w:val="continue"/>
            <w:shd w:val="clear" w:color="auto" w:fill="B4C6E7" w:themeFill="accent1" w:themeFillTint="66"/>
            <w:vAlign w:val="center"/>
          </w:tcPr>
          <w:p>
            <w:pPr>
              <w:widowControl/>
              <w:jc w:val="center"/>
              <w:rPr>
                <w:rFonts w:ascii="仿宋" w:hAnsi="仿宋" w:eastAsia="仿宋" w:cs="宋体"/>
                <w:color w:val="000000"/>
                <w:kern w:val="0"/>
                <w:sz w:val="24"/>
                <w:szCs w:val="24"/>
              </w:rPr>
            </w:pP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402" w:hRule="atLeast"/>
          <w:jc w:val="center"/>
        </w:trPr>
        <w:tc>
          <w:tcPr>
            <w:tcW w:w="709" w:type="dxa"/>
            <w:vMerge w:val="restart"/>
            <w:tcBorders>
              <w:left w:val="single" w:color="CCE8CF" w:themeColor="background1" w:sz="4" w:space="0"/>
            </w:tcBorders>
            <w:shd w:val="clear" w:color="auto" w:fill="5B9BD5" w:themeFill="accent5"/>
            <w:noWrap/>
            <w:vAlign w:val="center"/>
          </w:tcPr>
          <w:p>
            <w:pPr>
              <w:widowControl/>
              <w:jc w:val="center"/>
              <w:rPr>
                <w:rFonts w:ascii="仿宋" w:hAnsi="仿宋" w:eastAsia="仿宋" w:cs="宋体"/>
                <w:b w:val="0"/>
                <w:bCs w:val="0"/>
                <w:color w:val="CCE8CF" w:themeColor="background1"/>
                <w:kern w:val="0"/>
                <w:sz w:val="24"/>
                <w:szCs w:val="24"/>
              </w:rPr>
            </w:pPr>
            <w:r>
              <w:rPr>
                <w:rFonts w:hint="eastAsia" w:ascii="仿宋" w:hAnsi="仿宋" w:eastAsia="仿宋" w:cs="宋体"/>
                <w:b/>
                <w:bCs/>
                <w:color w:val="CCE8CF" w:themeColor="background1"/>
                <w:kern w:val="0"/>
                <w:sz w:val="24"/>
                <w:szCs w:val="24"/>
              </w:rPr>
              <w:t>4</w:t>
            </w:r>
          </w:p>
        </w:tc>
        <w:tc>
          <w:tcPr>
            <w:tcW w:w="2623" w:type="dxa"/>
            <w:vMerge w:val="restart"/>
            <w:shd w:val="clear" w:color="auto" w:fill="DEEAF6" w:themeFill="accent5" w:themeFillTint="33"/>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护理专业群</w:t>
            </w:r>
          </w:p>
        </w:tc>
        <w:tc>
          <w:tcPr>
            <w:tcW w:w="1346" w:type="dxa"/>
            <w:vMerge w:val="restart"/>
            <w:shd w:val="clear" w:color="auto" w:fill="DEEAF6" w:themeFill="accent5" w:themeFillTint="33"/>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孙小娅</w:t>
            </w:r>
          </w:p>
        </w:tc>
        <w:tc>
          <w:tcPr>
            <w:tcW w:w="2268" w:type="dxa"/>
            <w:shd w:val="clear" w:color="auto" w:fill="DEEAF6" w:themeFill="accent5" w:themeFillTint="33"/>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护理*</w:t>
            </w:r>
          </w:p>
        </w:tc>
        <w:tc>
          <w:tcPr>
            <w:tcW w:w="1984" w:type="dxa"/>
            <w:vMerge w:val="restart"/>
            <w:shd w:val="clear" w:color="auto" w:fill="DEEAF6" w:themeFill="accent5" w:themeFillTint="33"/>
            <w:noWrap/>
            <w:vAlign w:val="center"/>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校级重点专业群</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402" w:hRule="atLeast"/>
          <w:jc w:val="center"/>
        </w:trPr>
        <w:tc>
          <w:tcPr>
            <w:tcW w:w="709" w:type="dxa"/>
            <w:vMerge w:val="continue"/>
            <w:tcBorders>
              <w:left w:val="single" w:color="CCE8CF" w:themeColor="background1" w:sz="4" w:space="0"/>
            </w:tcBorders>
            <w:shd w:val="clear" w:color="auto" w:fill="5B9BD5" w:themeFill="accent5"/>
          </w:tcPr>
          <w:p>
            <w:pPr>
              <w:widowControl/>
              <w:jc w:val="left"/>
              <w:rPr>
                <w:rFonts w:ascii="仿宋" w:hAnsi="仿宋" w:eastAsia="仿宋" w:cs="宋体"/>
                <w:b w:val="0"/>
                <w:bCs w:val="0"/>
                <w:color w:val="000000"/>
                <w:kern w:val="0"/>
                <w:sz w:val="24"/>
                <w:szCs w:val="24"/>
              </w:rPr>
            </w:pPr>
          </w:p>
        </w:tc>
        <w:tc>
          <w:tcPr>
            <w:tcW w:w="2623" w:type="dxa"/>
            <w:vMerge w:val="continue"/>
            <w:shd w:val="clear" w:color="auto" w:fill="BDD6EE" w:themeFill="accent5" w:themeFillTint="66"/>
          </w:tcPr>
          <w:p>
            <w:pPr>
              <w:widowControl/>
              <w:jc w:val="left"/>
              <w:rPr>
                <w:rFonts w:ascii="仿宋" w:hAnsi="仿宋" w:eastAsia="仿宋" w:cs="宋体"/>
                <w:color w:val="000000"/>
                <w:kern w:val="0"/>
                <w:sz w:val="24"/>
                <w:szCs w:val="24"/>
              </w:rPr>
            </w:pPr>
          </w:p>
        </w:tc>
        <w:tc>
          <w:tcPr>
            <w:tcW w:w="1346" w:type="dxa"/>
            <w:vMerge w:val="continue"/>
            <w:shd w:val="clear" w:color="auto" w:fill="BDD6EE" w:themeFill="accent5" w:themeFillTint="66"/>
          </w:tcPr>
          <w:p>
            <w:pPr>
              <w:widowControl/>
              <w:jc w:val="left"/>
              <w:rPr>
                <w:rFonts w:ascii="仿宋" w:hAnsi="仿宋" w:eastAsia="仿宋" w:cs="宋体"/>
                <w:color w:val="000000"/>
                <w:kern w:val="0"/>
                <w:sz w:val="24"/>
                <w:szCs w:val="24"/>
              </w:rPr>
            </w:pPr>
          </w:p>
        </w:tc>
        <w:tc>
          <w:tcPr>
            <w:tcW w:w="2268" w:type="dxa"/>
            <w:shd w:val="clear" w:color="auto" w:fill="B4C6E7" w:themeFill="accent1" w:themeFillTint="66"/>
            <w:noWrap/>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健康管理</w:t>
            </w:r>
          </w:p>
        </w:tc>
        <w:tc>
          <w:tcPr>
            <w:tcW w:w="1984" w:type="dxa"/>
            <w:vMerge w:val="continue"/>
            <w:shd w:val="clear" w:color="auto" w:fill="BDD6EE" w:themeFill="accent5" w:themeFillTint="66"/>
          </w:tcPr>
          <w:p>
            <w:pPr>
              <w:widowControl/>
              <w:jc w:val="left"/>
              <w:rPr>
                <w:rFonts w:ascii="仿宋" w:hAnsi="仿宋" w:eastAsia="仿宋" w:cs="宋体"/>
                <w:color w:val="000000"/>
                <w:kern w:val="0"/>
                <w:sz w:val="24"/>
                <w:szCs w:val="24"/>
              </w:rPr>
            </w:pP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402" w:hRule="atLeast"/>
          <w:jc w:val="center"/>
        </w:trPr>
        <w:tc>
          <w:tcPr>
            <w:tcW w:w="709" w:type="dxa"/>
            <w:vMerge w:val="continue"/>
            <w:tcBorders>
              <w:left w:val="single" w:color="CCE8CF" w:themeColor="background1" w:sz="4" w:space="0"/>
            </w:tcBorders>
            <w:shd w:val="clear" w:color="auto" w:fill="5B9BD5" w:themeFill="accent5"/>
          </w:tcPr>
          <w:p>
            <w:pPr>
              <w:widowControl/>
              <w:jc w:val="left"/>
              <w:rPr>
                <w:rFonts w:ascii="仿宋" w:hAnsi="仿宋" w:eastAsia="仿宋" w:cs="宋体"/>
                <w:b w:val="0"/>
                <w:bCs w:val="0"/>
                <w:color w:val="000000"/>
                <w:kern w:val="0"/>
                <w:sz w:val="24"/>
                <w:szCs w:val="24"/>
              </w:rPr>
            </w:pPr>
          </w:p>
        </w:tc>
        <w:tc>
          <w:tcPr>
            <w:tcW w:w="2623" w:type="dxa"/>
            <w:vMerge w:val="continue"/>
            <w:shd w:val="clear" w:color="auto" w:fill="DEEAF6" w:themeFill="accent5" w:themeFillTint="33"/>
          </w:tcPr>
          <w:p>
            <w:pPr>
              <w:widowControl/>
              <w:jc w:val="left"/>
              <w:rPr>
                <w:rFonts w:ascii="仿宋" w:hAnsi="仿宋" w:eastAsia="仿宋" w:cs="宋体"/>
                <w:color w:val="000000"/>
                <w:kern w:val="0"/>
                <w:sz w:val="24"/>
                <w:szCs w:val="24"/>
              </w:rPr>
            </w:pPr>
          </w:p>
        </w:tc>
        <w:tc>
          <w:tcPr>
            <w:tcW w:w="1346" w:type="dxa"/>
            <w:vMerge w:val="continue"/>
            <w:shd w:val="clear" w:color="auto" w:fill="DEEAF6" w:themeFill="accent5" w:themeFillTint="33"/>
          </w:tcPr>
          <w:p>
            <w:pPr>
              <w:widowControl/>
              <w:jc w:val="left"/>
              <w:rPr>
                <w:rFonts w:ascii="仿宋" w:hAnsi="仿宋" w:eastAsia="仿宋" w:cs="宋体"/>
                <w:color w:val="000000"/>
                <w:kern w:val="0"/>
                <w:sz w:val="24"/>
                <w:szCs w:val="24"/>
              </w:rPr>
            </w:pPr>
          </w:p>
        </w:tc>
        <w:tc>
          <w:tcPr>
            <w:tcW w:w="2268" w:type="dxa"/>
            <w:shd w:val="clear" w:color="auto" w:fill="DEEAF6" w:themeFill="accent5" w:themeFillTint="33"/>
            <w:noWrap/>
          </w:tcPr>
          <w:p>
            <w:pPr>
              <w:widowControl/>
              <w:jc w:val="center"/>
              <w:rPr>
                <w:rFonts w:ascii="仿宋" w:hAnsi="仿宋" w:eastAsia="仿宋" w:cs="宋体"/>
                <w:color w:val="000000"/>
                <w:kern w:val="0"/>
                <w:sz w:val="24"/>
                <w:szCs w:val="24"/>
              </w:rPr>
            </w:pPr>
            <w:r>
              <w:rPr>
                <w:rFonts w:hint="eastAsia" w:ascii="仿宋" w:hAnsi="仿宋" w:eastAsia="仿宋" w:cs="宋体"/>
                <w:color w:val="000000"/>
                <w:kern w:val="0"/>
                <w:sz w:val="24"/>
                <w:szCs w:val="24"/>
              </w:rPr>
              <w:t>老年保健与管理</w:t>
            </w:r>
          </w:p>
        </w:tc>
        <w:tc>
          <w:tcPr>
            <w:tcW w:w="1984" w:type="dxa"/>
            <w:vMerge w:val="continue"/>
            <w:shd w:val="clear" w:color="auto" w:fill="DEEAF6" w:themeFill="accent5" w:themeFillTint="33"/>
          </w:tcPr>
          <w:p>
            <w:pPr>
              <w:widowControl/>
              <w:jc w:val="left"/>
              <w:rPr>
                <w:rFonts w:ascii="仿宋" w:hAnsi="仿宋" w:eastAsia="仿宋" w:cs="宋体"/>
                <w:color w:val="000000"/>
                <w:kern w:val="0"/>
                <w:sz w:val="24"/>
                <w:szCs w:val="24"/>
              </w:rPr>
            </w:pP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402" w:hRule="atLeast"/>
          <w:jc w:val="center"/>
        </w:trPr>
        <w:tc>
          <w:tcPr>
            <w:tcW w:w="8930" w:type="dxa"/>
            <w:gridSpan w:val="5"/>
            <w:tcBorders>
              <w:left w:val="single" w:color="CCE8CF" w:themeColor="background1" w:sz="4" w:space="0"/>
              <w:bottom w:val="single" w:color="CCE8CF" w:themeColor="background1" w:sz="4" w:space="0"/>
            </w:tcBorders>
            <w:shd w:val="clear" w:color="auto" w:fill="5B9BD5" w:themeFill="accent5"/>
          </w:tcPr>
          <w:p>
            <w:pPr>
              <w:widowControl/>
              <w:jc w:val="left"/>
              <w:rPr>
                <w:rFonts w:ascii="仿宋" w:hAnsi="仿宋" w:eastAsia="仿宋" w:cs="宋体"/>
                <w:b/>
                <w:bCs/>
                <w:color w:val="000000"/>
                <w:kern w:val="0"/>
                <w:sz w:val="24"/>
                <w:szCs w:val="24"/>
              </w:rPr>
            </w:pPr>
            <w:r>
              <w:rPr>
                <w:rFonts w:hint="eastAsia" w:ascii="仿宋" w:hAnsi="仿宋" w:eastAsia="仿宋" w:cs="宋体"/>
                <w:b/>
                <w:bCs/>
                <w:color w:val="CCE8CF" w:themeColor="background1"/>
                <w:kern w:val="0"/>
                <w:sz w:val="24"/>
                <w:szCs w:val="24"/>
              </w:rPr>
              <w:t>备注：标注*为群内核心专业。</w:t>
            </w:r>
          </w:p>
        </w:tc>
      </w:tr>
    </w:tbl>
    <w:p>
      <w:pPr>
        <w:adjustRightInd w:val="0"/>
        <w:snapToGrid w:val="0"/>
        <w:spacing w:before="156" w:beforeLines="50" w:line="360" w:lineRule="auto"/>
        <w:ind w:firstLine="560" w:firstLineChars="200"/>
        <w:rPr>
          <w:rFonts w:ascii="仿宋" w:hAnsi="仿宋" w:eastAsia="仿宋"/>
          <w:sz w:val="28"/>
          <w:szCs w:val="28"/>
        </w:rPr>
      </w:pPr>
      <w:r>
        <w:rPr>
          <w:rFonts w:hint="eastAsia" w:ascii="仿宋" w:hAnsi="仿宋" w:eastAsia="仿宋"/>
          <w:sz w:val="28"/>
          <w:szCs w:val="28"/>
        </w:rPr>
        <w:t>保持专业的先进性、适应性和职业教育要求，重视专业建设的指导和优化，该校每年都要根据区域经济及产业变化的要求和新知识、新工艺、新技能的需要进行具体专业人才方案的编制和修订，确定好专业人才培养目标、培养规格、培养过程和培养模式。对拟申报的新专业，做好专业论证，在专业启动之初就有系统设计；对所运行专业持续优化与深化，站在专业发展前沿和专业建设实际，学校组织专业（群）建设研讨会形成改进方案。各二级学院组建常态化的专业建设委员会，邀请相关领域专家来校研讨并把关专业建设。其专业结构及其具体内容紧跟国家政策要求和办学规范，突出职业性和技能性，信息软件学院和国际商学院分别入围教育部首批和第二批“1+X”证书制度试点院校建设单位，根据“Web前端开发”职业技能等级证书考试相关内容，进一步修订了软件专业的人才培养方案，以市场需要为导向，结合职业技能等级证书考试要求，在相关新设课程内嵌入技能等级证书考试内容，优化相关课程标准，积极实施技能培训并对考证安排稳步推进 “网店运营推广”“移动应用开发”、“大数据应用开发”、“实用英语交际”、“金税财务应用”等 “1+X”项目试点及证书努力推进，已扩展到更多二级学院和专业门类，有力提升专业建设成效。舞蹈专业重视专业实践和教学特色，获取明显成效（见案例6）。在做好专业建设的同时，拓展社会服务能力，作为面向社会人员招生试点院校，该校酒店管理专业2020年已启动了开班培养。本学年该校组织了</w:t>
      </w:r>
      <w:r>
        <w:rPr>
          <w:rFonts w:ascii="仿宋" w:hAnsi="仿宋" w:eastAsia="仿宋"/>
          <w:sz w:val="28"/>
          <w:szCs w:val="28"/>
        </w:rPr>
        <w:t>专业带头人“说专业”活动</w:t>
      </w:r>
      <w:r>
        <w:rPr>
          <w:rFonts w:hint="eastAsia" w:ascii="仿宋" w:hAnsi="仿宋" w:eastAsia="仿宋"/>
          <w:sz w:val="28"/>
          <w:szCs w:val="28"/>
        </w:rPr>
        <w:t>，通过</w:t>
      </w:r>
      <w:r>
        <w:rPr>
          <w:rFonts w:ascii="仿宋" w:hAnsi="仿宋" w:eastAsia="仿宋"/>
          <w:sz w:val="28"/>
          <w:szCs w:val="28"/>
        </w:rPr>
        <w:t>各二级学院</w:t>
      </w:r>
      <w:r>
        <w:rPr>
          <w:rFonts w:hint="eastAsia" w:ascii="仿宋" w:hAnsi="仿宋" w:eastAsia="仿宋"/>
          <w:sz w:val="28"/>
          <w:szCs w:val="28"/>
        </w:rPr>
        <w:t>层面和校级层面的专业之“说”，推动专业建设的不断迭代及提质。专业建设成效显著，</w:t>
      </w:r>
      <w:r>
        <w:rPr>
          <w:rFonts w:ascii="仿宋" w:hAnsi="仿宋" w:eastAsia="仿宋"/>
          <w:sz w:val="28"/>
          <w:szCs w:val="28"/>
        </w:rPr>
        <w:t>2020级舞蹈表演专业</w:t>
      </w:r>
      <w:r>
        <w:rPr>
          <w:rFonts w:hint="eastAsia" w:ascii="仿宋" w:hAnsi="仿宋" w:eastAsia="仿宋"/>
          <w:sz w:val="28"/>
          <w:szCs w:val="28"/>
        </w:rPr>
        <w:t>举行了</w:t>
      </w:r>
      <w:r>
        <w:rPr>
          <w:rFonts w:ascii="仿宋" w:hAnsi="仿宋" w:eastAsia="仿宋"/>
          <w:sz w:val="28"/>
          <w:szCs w:val="28"/>
        </w:rPr>
        <w:t>教学成果汇报演出</w:t>
      </w:r>
      <w:r>
        <w:rPr>
          <w:rFonts w:hint="eastAsia" w:ascii="仿宋" w:hAnsi="仿宋" w:eastAsia="仿宋"/>
          <w:sz w:val="28"/>
          <w:szCs w:val="28"/>
        </w:rPr>
        <w:t>（见图</w:t>
      </w:r>
      <w:r>
        <w:rPr>
          <w:rFonts w:ascii="仿宋" w:hAnsi="仿宋" w:eastAsia="仿宋"/>
          <w:sz w:val="28"/>
          <w:szCs w:val="28"/>
        </w:rPr>
        <w:t>2.4</w:t>
      </w:r>
      <w:r>
        <w:rPr>
          <w:rFonts w:hint="eastAsia" w:ascii="仿宋" w:hAnsi="仿宋" w:eastAsia="仿宋"/>
          <w:sz w:val="28"/>
          <w:szCs w:val="28"/>
        </w:rPr>
        <w:t>），其专业建设成果引起了社会关注，新华报业传媒集团移动媒体以“苏州高博软件技术职业学院专业建设结硕果，</w:t>
      </w:r>
      <w:r>
        <w:rPr>
          <w:rFonts w:ascii="仿宋" w:hAnsi="仿宋" w:eastAsia="仿宋"/>
          <w:sz w:val="28"/>
          <w:szCs w:val="28"/>
        </w:rPr>
        <w:t>为地方发展贡献力量”为题发布交汇点新闻。苏州日报报业集团以“服务地方经济社会发展受青睐</w:t>
      </w:r>
      <w:r>
        <w:rPr>
          <w:rFonts w:hint="eastAsia" w:ascii="仿宋" w:hAnsi="仿宋" w:eastAsia="仿宋"/>
          <w:sz w:val="28"/>
          <w:szCs w:val="28"/>
        </w:rPr>
        <w:t>，</w:t>
      </w:r>
      <w:r>
        <w:rPr>
          <w:rFonts w:ascii="仿宋" w:hAnsi="仿宋" w:eastAsia="仿宋"/>
          <w:sz w:val="28"/>
          <w:szCs w:val="28"/>
        </w:rPr>
        <w:t>高博毕业生就业率连年超九成”为题发布引力播新闻；网易</w:t>
      </w:r>
      <w:r>
        <w:rPr>
          <w:rFonts w:hint="eastAsia" w:ascii="仿宋" w:hAnsi="仿宋" w:eastAsia="仿宋"/>
          <w:sz w:val="28"/>
          <w:szCs w:val="28"/>
        </w:rPr>
        <w:t>也作了相应</w:t>
      </w:r>
      <w:r>
        <w:rPr>
          <w:rFonts w:ascii="仿宋" w:hAnsi="仿宋" w:eastAsia="仿宋"/>
          <w:sz w:val="28"/>
          <w:szCs w:val="28"/>
        </w:rPr>
        <w:t>新闻</w:t>
      </w:r>
      <w:r>
        <w:rPr>
          <w:rFonts w:hint="eastAsia" w:ascii="仿宋" w:hAnsi="仿宋" w:eastAsia="仿宋"/>
          <w:sz w:val="28"/>
          <w:szCs w:val="28"/>
        </w:rPr>
        <w:t>发布。</w:t>
      </w:r>
    </w:p>
    <w:p>
      <w:pPr>
        <w:adjustRightInd w:val="0"/>
        <w:snapToGrid w:val="0"/>
        <w:spacing w:before="156" w:beforeLines="50" w:line="360" w:lineRule="auto"/>
        <w:jc w:val="center"/>
        <w:rPr>
          <w:rFonts w:ascii="仿宋" w:hAnsi="仿宋" w:eastAsia="仿宋"/>
          <w:sz w:val="28"/>
          <w:szCs w:val="28"/>
        </w:rPr>
      </w:pPr>
      <w:r>
        <w:drawing>
          <wp:inline distT="0" distB="0" distL="0" distR="0">
            <wp:extent cx="4914900" cy="345757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4914900" cy="3457575"/>
                    </a:xfrm>
                    <a:prstGeom prst="rect">
                      <a:avLst/>
                    </a:prstGeom>
                    <a:noFill/>
                    <a:ln>
                      <a:noFill/>
                    </a:ln>
                  </pic:spPr>
                </pic:pic>
              </a:graphicData>
            </a:graphic>
          </wp:inline>
        </w:drawing>
      </w:r>
    </w:p>
    <w:p>
      <w:pPr>
        <w:adjustRightInd w:val="0"/>
        <w:snapToGrid w:val="0"/>
        <w:spacing w:before="156" w:beforeLines="50" w:line="360" w:lineRule="auto"/>
        <w:jc w:val="center"/>
        <w:rPr>
          <w:rFonts w:ascii="仿宋_GB2312" w:eastAsia="仿宋_GB2312"/>
          <w:b/>
          <w:sz w:val="24"/>
          <w:szCs w:val="24"/>
        </w:rPr>
      </w:pPr>
      <w:bookmarkStart w:id="132" w:name="_Toc124169602"/>
      <w:bookmarkStart w:id="133" w:name="_Toc124169692"/>
      <w:bookmarkStart w:id="134" w:name="_Hlk121992857"/>
      <w:r>
        <w:rPr>
          <w:rFonts w:hint="eastAsia" w:ascii="仿宋_GB2312" w:eastAsia="仿宋_GB2312"/>
          <w:b/>
          <w:sz w:val="24"/>
          <w:szCs w:val="24"/>
        </w:rPr>
        <w:t>图</w:t>
      </w:r>
      <w:bookmarkStart w:id="135" w:name="_Hlk124257494"/>
      <w:r>
        <w:rPr>
          <w:rFonts w:hint="eastAsia" w:ascii="仿宋_GB2312" w:eastAsia="仿宋_GB2312"/>
          <w:b/>
          <w:sz w:val="24"/>
          <w:szCs w:val="24"/>
        </w:rPr>
        <w:t xml:space="preserve">2. </w:t>
      </w:r>
      <w:r>
        <w:rPr>
          <w:rFonts w:ascii="仿宋_GB2312" w:eastAsia="仿宋_GB2312"/>
          <w:b/>
          <w:sz w:val="24"/>
          <w:szCs w:val="24"/>
        </w:rPr>
        <w:fldChar w:fldCharType="begin"/>
      </w:r>
      <w:r>
        <w:rPr>
          <w:rFonts w:ascii="仿宋_GB2312" w:eastAsia="仿宋_GB2312"/>
          <w:b/>
          <w:sz w:val="24"/>
          <w:szCs w:val="24"/>
        </w:rPr>
        <w:instrText xml:space="preserve"> </w:instrText>
      </w:r>
      <w:r>
        <w:rPr>
          <w:rFonts w:hint="eastAsia" w:ascii="仿宋_GB2312" w:eastAsia="仿宋_GB2312"/>
          <w:b/>
          <w:sz w:val="24"/>
          <w:szCs w:val="24"/>
        </w:rPr>
        <w:instrText xml:space="preserve">SEQ 图2. \* ARABIC</w:instrText>
      </w:r>
      <w:r>
        <w:rPr>
          <w:rFonts w:ascii="仿宋_GB2312" w:eastAsia="仿宋_GB2312"/>
          <w:b/>
          <w:sz w:val="24"/>
          <w:szCs w:val="24"/>
        </w:rPr>
        <w:instrText xml:space="preserve"> </w:instrText>
      </w:r>
      <w:r>
        <w:rPr>
          <w:rFonts w:ascii="仿宋_GB2312" w:eastAsia="仿宋_GB2312"/>
          <w:b/>
          <w:sz w:val="24"/>
          <w:szCs w:val="24"/>
        </w:rPr>
        <w:fldChar w:fldCharType="separate"/>
      </w:r>
      <w:r>
        <w:rPr>
          <w:rFonts w:ascii="仿宋_GB2312" w:eastAsia="仿宋_GB2312"/>
          <w:b/>
          <w:sz w:val="24"/>
          <w:szCs w:val="24"/>
        </w:rPr>
        <w:t>4</w:t>
      </w:r>
      <w:r>
        <w:rPr>
          <w:rFonts w:ascii="仿宋_GB2312" w:eastAsia="仿宋_GB2312"/>
          <w:b/>
          <w:sz w:val="24"/>
          <w:szCs w:val="24"/>
        </w:rPr>
        <w:fldChar w:fldCharType="end"/>
      </w:r>
      <w:bookmarkEnd w:id="135"/>
      <w:r>
        <w:rPr>
          <w:rFonts w:ascii="仿宋_GB2312" w:eastAsia="仿宋_GB2312"/>
          <w:b/>
          <w:sz w:val="24"/>
          <w:szCs w:val="24"/>
        </w:rPr>
        <w:t xml:space="preserve"> </w:t>
      </w:r>
      <w:r>
        <w:rPr>
          <w:rFonts w:hint="eastAsia" w:ascii="仿宋_GB2312" w:eastAsia="仿宋_GB2312"/>
          <w:b/>
          <w:sz w:val="24"/>
          <w:szCs w:val="24"/>
        </w:rPr>
        <w:t>舞蹈专业教学成果汇报演出剪影</w:t>
      </w:r>
      <w:bookmarkEnd w:id="132"/>
      <w:bookmarkEnd w:id="133"/>
    </w:p>
    <w:bookmarkEnd w:id="134"/>
    <w:p>
      <w:pPr>
        <w:adjustRightInd w:val="0"/>
        <w:snapToGrid w:val="0"/>
        <w:spacing w:before="156" w:beforeLines="50" w:line="360" w:lineRule="auto"/>
        <w:ind w:firstLine="560" w:firstLineChars="200"/>
        <w:rPr>
          <w:rFonts w:ascii="仿宋" w:hAnsi="仿宋" w:eastAsia="仿宋"/>
          <w:sz w:val="28"/>
          <w:szCs w:val="28"/>
        </w:rPr>
      </w:pPr>
    </w:p>
    <w:p>
      <w:pPr>
        <w:adjustRightInd w:val="0"/>
        <w:snapToGrid w:val="0"/>
        <w:spacing w:line="360" w:lineRule="auto"/>
        <w:ind w:firstLine="482" w:firstLineChars="200"/>
        <w:jc w:val="left"/>
        <w:outlineLvl w:val="2"/>
        <w:rPr>
          <w:rFonts w:ascii="仿宋_GB2312" w:hAnsi="宋体" w:eastAsia="仿宋_GB2312"/>
          <w:b/>
          <w:color w:val="000000" w:themeColor="text1"/>
          <w:sz w:val="24"/>
          <w:szCs w:val="24"/>
        </w:rPr>
      </w:pPr>
      <w:bookmarkStart w:id="136" w:name="_Toc124087889"/>
      <w:bookmarkStart w:id="137" w:name="_Toc119932701"/>
      <w:r>
        <w:rPr>
          <w:rFonts w:hint="eastAsia" w:ascii="仿宋_GB2312" w:hAnsi="宋体" w:eastAsia="仿宋_GB2312"/>
          <w:b/>
          <w:color w:val="000000" w:themeColor="text1"/>
          <w:sz w:val="24"/>
          <w:szCs w:val="24"/>
        </w:rPr>
        <w:t>案例</w:t>
      </w:r>
      <w:bookmarkStart w:id="138" w:name="_Hlk118984322"/>
      <w:r>
        <w:rPr>
          <w:rFonts w:ascii="仿宋_GB2312" w:hAnsi="宋体" w:eastAsia="仿宋_GB2312"/>
          <w:b/>
          <w:color w:val="000000" w:themeColor="text1"/>
          <w:sz w:val="24"/>
          <w:szCs w:val="24"/>
        </w:rPr>
        <w:t>6</w:t>
      </w:r>
      <w:r>
        <w:rPr>
          <w:rFonts w:hint="eastAsia" w:ascii="仿宋_GB2312" w:hAnsi="宋体" w:eastAsia="仿宋_GB2312"/>
          <w:b/>
          <w:color w:val="000000" w:themeColor="text1"/>
          <w:sz w:val="24"/>
          <w:szCs w:val="24"/>
        </w:rPr>
        <w:t>【舞蹈专业的江南非遗文化传承】</w:t>
      </w:r>
      <w:bookmarkEnd w:id="136"/>
      <w:bookmarkEnd w:id="137"/>
      <w:bookmarkEnd w:id="138"/>
    </w:p>
    <w:p>
      <w:pPr>
        <w:widowControl/>
        <w:spacing w:line="360" w:lineRule="auto"/>
        <w:ind w:firstLine="480" w:firstLineChars="200"/>
        <w:rPr>
          <w:rFonts w:ascii="楷体_GB2312" w:hAnsi="宋体" w:eastAsia="楷体_GB2312" w:cs="Times New Roman"/>
          <w:color w:val="000000" w:themeColor="text1"/>
          <w:kern w:val="0"/>
          <w:sz w:val="24"/>
          <w:szCs w:val="24"/>
        </w:rPr>
      </w:pPr>
      <w:r>
        <w:rPr>
          <w:rFonts w:hint="eastAsia" w:ascii="楷体_GB2312" w:hAnsi="宋体" w:eastAsia="楷体_GB2312" w:cs="Times New Roman"/>
          <w:color w:val="000000" w:themeColor="text1"/>
          <w:kern w:val="0"/>
          <w:sz w:val="24"/>
          <w:szCs w:val="24"/>
        </w:rPr>
        <w:t>为促进江南非遗文化传承，培养德艺双修人才，该校舞蹈表演专业开发《江南民间舞蹈》特色课程，教授包括渔篮花鼓、泰兴花鼓，苏州非遗莲厢舞蹈等极具江南特色的舞蹈。通过对经典且具有知名度的表演剧目的学习，一方面使学生深度了解江南民间舞的特点以及文化内涵，增强对传承和发扬非遗文化艺术的责任感和使命感，另一方面也进一步提高了学生的舞蹈技能和舞台表现力。在此基础上，学生参加了委宣传部等单位主办的“庆祝中国共产党成立100周年第九届全区基层群众文艺会演舞蹈专场”活动、“银发先锋映党旗、齐心奋进新征程”2022年吴中区离退休干部庆重阳文体节闭幕式文艺汇演，利用实习机会让</w:t>
      </w:r>
      <w:bookmarkStart w:id="139" w:name="_Hlk121898530"/>
      <w:r>
        <w:rPr>
          <w:rFonts w:hint="eastAsia" w:ascii="楷体_GB2312" w:hAnsi="宋体" w:eastAsia="楷体_GB2312" w:cs="Times New Roman"/>
          <w:color w:val="000000" w:themeColor="text1"/>
          <w:kern w:val="0"/>
          <w:sz w:val="24"/>
          <w:szCs w:val="24"/>
        </w:rPr>
        <w:t>非遗莲湘舞蹈</w:t>
      </w:r>
      <w:bookmarkEnd w:id="139"/>
      <w:r>
        <w:rPr>
          <w:rFonts w:hint="eastAsia" w:ascii="楷体_GB2312" w:hAnsi="宋体" w:eastAsia="楷体_GB2312" w:cs="Times New Roman"/>
          <w:color w:val="000000" w:themeColor="text1"/>
          <w:kern w:val="0"/>
          <w:sz w:val="24"/>
          <w:szCs w:val="24"/>
        </w:rPr>
        <w:t>走入中小学，让更多的孩子了解江南民间舞蹈，并积极参与首届“兰花杯”民族民间舞（非遗）展演活动（见图</w:t>
      </w:r>
      <w:r>
        <w:rPr>
          <w:rFonts w:ascii="楷体_GB2312" w:hAnsi="宋体" w:eastAsia="楷体_GB2312" w:cs="Times New Roman"/>
          <w:color w:val="000000" w:themeColor="text1"/>
          <w:kern w:val="0"/>
          <w:sz w:val="24"/>
          <w:szCs w:val="24"/>
        </w:rPr>
        <w:t>2.5</w:t>
      </w:r>
      <w:r>
        <w:rPr>
          <w:rFonts w:hint="eastAsia" w:ascii="楷体_GB2312" w:hAnsi="宋体" w:eastAsia="楷体_GB2312" w:cs="Times New Roman"/>
          <w:color w:val="000000" w:themeColor="text1"/>
          <w:kern w:val="0"/>
          <w:sz w:val="24"/>
          <w:szCs w:val="24"/>
        </w:rPr>
        <w:t>、</w:t>
      </w:r>
      <w:r>
        <w:rPr>
          <w:rFonts w:ascii="楷体_GB2312" w:hAnsi="宋体" w:eastAsia="楷体_GB2312" w:cs="Times New Roman"/>
          <w:color w:val="000000" w:themeColor="text1"/>
          <w:kern w:val="0"/>
          <w:sz w:val="24"/>
          <w:szCs w:val="24"/>
        </w:rPr>
        <w:t>2.6</w:t>
      </w:r>
      <w:r>
        <w:rPr>
          <w:rFonts w:hint="eastAsia" w:ascii="楷体_GB2312" w:hAnsi="宋体" w:eastAsia="楷体_GB2312" w:cs="Times New Roman"/>
          <w:color w:val="000000" w:themeColor="text1"/>
          <w:kern w:val="0"/>
          <w:sz w:val="24"/>
          <w:szCs w:val="24"/>
        </w:rPr>
        <w:t>）。以舞蹈剧目的项目教学为载体，以多场域实训为手段，舞出了一带“教学做”理实一体的课程教学彩练，蹈出了一条课程指向的职业活动所需的“德能技”融合发展的课程育人之路。今年在党的二十大召开前夕，该校舞蹈表演专业学生录制的“百灵·秀/舞动青春”在“学习强国”A</w:t>
      </w:r>
      <w:r>
        <w:rPr>
          <w:rFonts w:ascii="楷体_GB2312" w:hAnsi="宋体" w:eastAsia="楷体_GB2312" w:cs="Times New Roman"/>
          <w:color w:val="000000" w:themeColor="text1"/>
          <w:kern w:val="0"/>
          <w:sz w:val="24"/>
          <w:szCs w:val="24"/>
        </w:rPr>
        <w:t>PP</w:t>
      </w:r>
      <w:r>
        <w:rPr>
          <w:rFonts w:hint="eastAsia" w:ascii="楷体_GB2312" w:hAnsi="宋体" w:eastAsia="楷体_GB2312" w:cs="Times New Roman"/>
          <w:color w:val="000000" w:themeColor="text1"/>
          <w:kern w:val="0"/>
          <w:sz w:val="24"/>
          <w:szCs w:val="24"/>
        </w:rPr>
        <w:t>上发布，舞蹈专业立足于江南民间舞蹈文化，用创新的舞蹈表演形式赞美新时代。</w:t>
      </w:r>
    </w:p>
    <w:p>
      <w:pPr>
        <w:widowControl/>
        <w:spacing w:line="360" w:lineRule="auto"/>
        <w:ind w:firstLine="480" w:firstLineChars="200"/>
        <w:rPr>
          <w:rFonts w:ascii="楷体_GB2312" w:hAnsi="宋体" w:eastAsia="楷体_GB2312" w:cs="Times New Roman"/>
          <w:color w:val="000000" w:themeColor="text1"/>
          <w:kern w:val="0"/>
          <w:sz w:val="24"/>
          <w:szCs w:val="24"/>
        </w:rPr>
      </w:pPr>
    </w:p>
    <w:p>
      <w:pPr>
        <w:ind w:firstLine="420" w:firstLineChars="200"/>
      </w:pPr>
    </w:p>
    <w:p>
      <w:pPr>
        <w:ind w:firstLine="420" w:firstLineChars="200"/>
        <w:jc w:val="center"/>
      </w:pPr>
      <w:r>
        <w:drawing>
          <wp:inline distT="0" distB="0" distL="0" distR="0">
            <wp:extent cx="2910205" cy="2055495"/>
            <wp:effectExtent l="0" t="0" r="4445" b="190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921948" cy="2064290"/>
                    </a:xfrm>
                    <a:prstGeom prst="rect">
                      <a:avLst/>
                    </a:prstGeom>
                    <a:noFill/>
                    <a:ln>
                      <a:noFill/>
                    </a:ln>
                  </pic:spPr>
                </pic:pic>
              </a:graphicData>
            </a:graphic>
          </wp:inline>
        </w:drawing>
      </w:r>
    </w:p>
    <w:p>
      <w:pPr>
        <w:adjustRightInd w:val="0"/>
        <w:snapToGrid w:val="0"/>
        <w:spacing w:before="156" w:beforeLines="50" w:line="360" w:lineRule="auto"/>
        <w:jc w:val="center"/>
        <w:rPr>
          <w:rFonts w:ascii="仿宋_GB2312" w:eastAsia="仿宋_GB2312"/>
          <w:b/>
          <w:sz w:val="24"/>
          <w:szCs w:val="24"/>
        </w:rPr>
      </w:pPr>
      <w:bookmarkStart w:id="140" w:name="_Toc124169693"/>
      <w:bookmarkStart w:id="141" w:name="_Toc124169603"/>
      <w:bookmarkStart w:id="142" w:name="_Hlk118967214"/>
      <w:r>
        <w:rPr>
          <w:rFonts w:hint="eastAsia" w:ascii="仿宋_GB2312" w:eastAsia="仿宋_GB2312"/>
          <w:b/>
          <w:sz w:val="24"/>
          <w:szCs w:val="24"/>
        </w:rPr>
        <w:t xml:space="preserve">图2. </w:t>
      </w:r>
      <w:r>
        <w:rPr>
          <w:rFonts w:ascii="仿宋_GB2312" w:eastAsia="仿宋_GB2312"/>
          <w:b/>
          <w:sz w:val="24"/>
          <w:szCs w:val="24"/>
        </w:rPr>
        <w:fldChar w:fldCharType="begin"/>
      </w:r>
      <w:r>
        <w:rPr>
          <w:rFonts w:ascii="仿宋_GB2312" w:eastAsia="仿宋_GB2312"/>
          <w:b/>
          <w:sz w:val="24"/>
          <w:szCs w:val="24"/>
        </w:rPr>
        <w:instrText xml:space="preserve"> </w:instrText>
      </w:r>
      <w:r>
        <w:rPr>
          <w:rFonts w:hint="eastAsia" w:ascii="仿宋_GB2312" w:eastAsia="仿宋_GB2312"/>
          <w:b/>
          <w:sz w:val="24"/>
          <w:szCs w:val="24"/>
        </w:rPr>
        <w:instrText xml:space="preserve">SEQ 图2. \* ARABIC</w:instrText>
      </w:r>
      <w:r>
        <w:rPr>
          <w:rFonts w:ascii="仿宋_GB2312" w:eastAsia="仿宋_GB2312"/>
          <w:b/>
          <w:sz w:val="24"/>
          <w:szCs w:val="24"/>
        </w:rPr>
        <w:instrText xml:space="preserve"> </w:instrText>
      </w:r>
      <w:r>
        <w:rPr>
          <w:rFonts w:ascii="仿宋_GB2312" w:eastAsia="仿宋_GB2312"/>
          <w:b/>
          <w:sz w:val="24"/>
          <w:szCs w:val="24"/>
        </w:rPr>
        <w:fldChar w:fldCharType="separate"/>
      </w:r>
      <w:r>
        <w:rPr>
          <w:rFonts w:ascii="仿宋_GB2312" w:eastAsia="仿宋_GB2312"/>
          <w:b/>
          <w:sz w:val="24"/>
          <w:szCs w:val="24"/>
        </w:rPr>
        <w:t>5</w:t>
      </w:r>
      <w:r>
        <w:rPr>
          <w:rFonts w:ascii="仿宋_GB2312" w:eastAsia="仿宋_GB2312"/>
          <w:b/>
          <w:sz w:val="24"/>
          <w:szCs w:val="24"/>
        </w:rPr>
        <w:fldChar w:fldCharType="end"/>
      </w:r>
      <w:r>
        <w:rPr>
          <w:rFonts w:ascii="仿宋_GB2312" w:eastAsia="仿宋_GB2312"/>
          <w:b/>
          <w:sz w:val="24"/>
          <w:szCs w:val="24"/>
        </w:rPr>
        <w:t xml:space="preserve"> </w:t>
      </w:r>
      <w:r>
        <w:rPr>
          <w:rFonts w:hint="eastAsia" w:ascii="仿宋_GB2312" w:eastAsia="仿宋_GB2312"/>
          <w:b/>
          <w:sz w:val="24"/>
          <w:szCs w:val="24"/>
        </w:rPr>
        <w:t>江南舞蹈艺术交流活动</w:t>
      </w:r>
      <w:bookmarkEnd w:id="140"/>
      <w:bookmarkEnd w:id="141"/>
    </w:p>
    <w:bookmarkEnd w:id="142"/>
    <w:p>
      <w:pPr>
        <w:ind w:firstLine="420" w:firstLineChars="200"/>
      </w:pPr>
    </w:p>
    <w:p>
      <w:pPr>
        <w:ind w:firstLine="420" w:firstLineChars="200"/>
        <w:jc w:val="center"/>
      </w:pPr>
      <w:r>
        <w:drawing>
          <wp:inline distT="0" distB="0" distL="0" distR="0">
            <wp:extent cx="3076575" cy="2051050"/>
            <wp:effectExtent l="0" t="0" r="9525"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3084902" cy="2056477"/>
                    </a:xfrm>
                    <a:prstGeom prst="rect">
                      <a:avLst/>
                    </a:prstGeom>
                    <a:noFill/>
                    <a:ln>
                      <a:noFill/>
                    </a:ln>
                  </pic:spPr>
                </pic:pic>
              </a:graphicData>
            </a:graphic>
          </wp:inline>
        </w:drawing>
      </w:r>
    </w:p>
    <w:p>
      <w:pPr>
        <w:adjustRightInd w:val="0"/>
        <w:snapToGrid w:val="0"/>
        <w:spacing w:before="156" w:beforeLines="50" w:line="360" w:lineRule="auto"/>
        <w:jc w:val="center"/>
        <w:rPr>
          <w:rFonts w:ascii="仿宋_GB2312" w:eastAsia="仿宋_GB2312"/>
          <w:b/>
          <w:sz w:val="24"/>
          <w:szCs w:val="24"/>
        </w:rPr>
      </w:pPr>
      <w:bookmarkStart w:id="143" w:name="_Toc124169694"/>
      <w:bookmarkStart w:id="144" w:name="_Toc124169604"/>
      <w:r>
        <w:rPr>
          <w:rFonts w:hint="eastAsia" w:ascii="仿宋_GB2312" w:eastAsia="仿宋_GB2312"/>
          <w:b/>
          <w:sz w:val="24"/>
          <w:szCs w:val="24"/>
        </w:rPr>
        <w:t>图</w:t>
      </w:r>
      <w:bookmarkStart w:id="145" w:name="_Hlk124257558"/>
      <w:r>
        <w:rPr>
          <w:rFonts w:hint="eastAsia" w:ascii="仿宋_GB2312" w:eastAsia="仿宋_GB2312"/>
          <w:b/>
          <w:sz w:val="24"/>
          <w:szCs w:val="24"/>
        </w:rPr>
        <w:t xml:space="preserve">2. </w:t>
      </w:r>
      <w:r>
        <w:rPr>
          <w:rFonts w:ascii="仿宋_GB2312" w:eastAsia="仿宋_GB2312"/>
          <w:b/>
          <w:sz w:val="24"/>
          <w:szCs w:val="24"/>
        </w:rPr>
        <w:fldChar w:fldCharType="begin"/>
      </w:r>
      <w:r>
        <w:rPr>
          <w:rFonts w:ascii="仿宋_GB2312" w:eastAsia="仿宋_GB2312"/>
          <w:b/>
          <w:sz w:val="24"/>
          <w:szCs w:val="24"/>
        </w:rPr>
        <w:instrText xml:space="preserve"> </w:instrText>
      </w:r>
      <w:r>
        <w:rPr>
          <w:rFonts w:hint="eastAsia" w:ascii="仿宋_GB2312" w:eastAsia="仿宋_GB2312"/>
          <w:b/>
          <w:sz w:val="24"/>
          <w:szCs w:val="24"/>
        </w:rPr>
        <w:instrText xml:space="preserve">SEQ 图2. \* ARABIC</w:instrText>
      </w:r>
      <w:r>
        <w:rPr>
          <w:rFonts w:ascii="仿宋_GB2312" w:eastAsia="仿宋_GB2312"/>
          <w:b/>
          <w:sz w:val="24"/>
          <w:szCs w:val="24"/>
        </w:rPr>
        <w:instrText xml:space="preserve"> </w:instrText>
      </w:r>
      <w:r>
        <w:rPr>
          <w:rFonts w:ascii="仿宋_GB2312" w:eastAsia="仿宋_GB2312"/>
          <w:b/>
          <w:sz w:val="24"/>
          <w:szCs w:val="24"/>
        </w:rPr>
        <w:fldChar w:fldCharType="separate"/>
      </w:r>
      <w:r>
        <w:rPr>
          <w:rFonts w:ascii="仿宋_GB2312" w:eastAsia="仿宋_GB2312"/>
          <w:b/>
          <w:sz w:val="24"/>
          <w:szCs w:val="24"/>
        </w:rPr>
        <w:t>6</w:t>
      </w:r>
      <w:r>
        <w:rPr>
          <w:rFonts w:ascii="仿宋_GB2312" w:eastAsia="仿宋_GB2312"/>
          <w:b/>
          <w:sz w:val="24"/>
          <w:szCs w:val="24"/>
        </w:rPr>
        <w:fldChar w:fldCharType="end"/>
      </w:r>
      <w:bookmarkEnd w:id="145"/>
      <w:r>
        <w:rPr>
          <w:rFonts w:ascii="仿宋_GB2312" w:eastAsia="仿宋_GB2312"/>
          <w:b/>
          <w:sz w:val="24"/>
          <w:szCs w:val="24"/>
        </w:rPr>
        <w:t xml:space="preserve"> </w:t>
      </w:r>
      <w:r>
        <w:rPr>
          <w:rFonts w:hint="eastAsia" w:ascii="仿宋_GB2312" w:eastAsia="仿宋_GB2312"/>
          <w:b/>
          <w:sz w:val="24"/>
          <w:szCs w:val="24"/>
        </w:rPr>
        <w:t>江南非遗蓮湘舞展示</w:t>
      </w:r>
      <w:bookmarkEnd w:id="143"/>
      <w:bookmarkEnd w:id="144"/>
    </w:p>
    <w:p>
      <w:pPr>
        <w:ind w:firstLine="420" w:firstLineChars="200"/>
      </w:pPr>
    </w:p>
    <w:p>
      <w:pPr>
        <w:pStyle w:val="3"/>
        <w:spacing w:before="0" w:after="0" w:line="360" w:lineRule="auto"/>
        <w:ind w:firstLine="562" w:firstLineChars="200"/>
        <w:rPr>
          <w:rFonts w:ascii="仿宋_GB2312" w:eastAsia="仿宋_GB2312" w:hAnsiTheme="minorEastAsia"/>
          <w:sz w:val="28"/>
          <w:szCs w:val="28"/>
        </w:rPr>
      </w:pPr>
      <w:bookmarkStart w:id="146" w:name="_Toc124087890"/>
      <w:bookmarkStart w:id="147" w:name="_Toc500492303"/>
      <w:bookmarkStart w:id="148" w:name="_Toc532826559"/>
      <w:bookmarkStart w:id="149" w:name="_Toc533519409"/>
      <w:bookmarkStart w:id="150" w:name="_Toc533519407"/>
      <w:bookmarkStart w:id="151" w:name="_Toc500492300"/>
      <w:bookmarkStart w:id="152" w:name="_Toc532826558"/>
      <w:r>
        <w:rPr>
          <w:rFonts w:hint="eastAsia" w:ascii="仿宋_GB2312" w:eastAsia="仿宋_GB2312" w:hAnsiTheme="minorEastAsia"/>
          <w:sz w:val="28"/>
          <w:szCs w:val="28"/>
        </w:rPr>
        <w:t>2</w:t>
      </w:r>
      <w:r>
        <w:rPr>
          <w:rFonts w:ascii="仿宋_GB2312" w:eastAsia="仿宋_GB2312" w:hAnsiTheme="minorEastAsia"/>
          <w:sz w:val="28"/>
          <w:szCs w:val="28"/>
        </w:rPr>
        <w:t>.</w:t>
      </w:r>
      <w:r>
        <w:rPr>
          <w:rFonts w:hint="eastAsia" w:ascii="仿宋_GB2312" w:eastAsia="仿宋_GB2312" w:hAnsiTheme="minorEastAsia"/>
          <w:sz w:val="28"/>
          <w:szCs w:val="28"/>
        </w:rPr>
        <w:t>4课程建设</w:t>
      </w:r>
      <w:bookmarkEnd w:id="146"/>
      <w:bookmarkEnd w:id="147"/>
      <w:bookmarkEnd w:id="148"/>
      <w:bookmarkEnd w:id="149"/>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该校积极</w:t>
      </w:r>
      <w:r>
        <w:rPr>
          <w:rFonts w:ascii="仿宋" w:hAnsi="仿宋" w:eastAsia="仿宋"/>
          <w:sz w:val="28"/>
          <w:szCs w:val="28"/>
        </w:rPr>
        <w:t>深化教学改革，</w:t>
      </w:r>
      <w:r>
        <w:rPr>
          <w:rFonts w:hint="eastAsia" w:ascii="仿宋" w:hAnsi="仿宋" w:eastAsia="仿宋"/>
          <w:sz w:val="28"/>
          <w:szCs w:val="28"/>
        </w:rPr>
        <w:t>紧抓</w:t>
      </w:r>
      <w:r>
        <w:rPr>
          <w:rFonts w:ascii="仿宋" w:hAnsi="仿宋" w:eastAsia="仿宋"/>
          <w:sz w:val="28"/>
          <w:szCs w:val="28"/>
        </w:rPr>
        <w:t>课程</w:t>
      </w:r>
      <w:r>
        <w:rPr>
          <w:rFonts w:hint="eastAsia" w:ascii="仿宋" w:hAnsi="仿宋" w:eastAsia="仿宋"/>
          <w:sz w:val="28"/>
          <w:szCs w:val="28"/>
        </w:rPr>
        <w:t>改革</w:t>
      </w:r>
      <w:r>
        <w:rPr>
          <w:rFonts w:ascii="仿宋" w:hAnsi="仿宋" w:eastAsia="仿宋"/>
          <w:sz w:val="28"/>
          <w:szCs w:val="28"/>
        </w:rPr>
        <w:t>这个核心</w:t>
      </w:r>
      <w:r>
        <w:rPr>
          <w:rFonts w:hint="eastAsia" w:ascii="仿宋" w:hAnsi="仿宋" w:eastAsia="仿宋"/>
          <w:sz w:val="28"/>
          <w:szCs w:val="28"/>
        </w:rPr>
        <w:t>，继续实施“</w:t>
      </w:r>
      <w:r>
        <w:rPr>
          <w:rFonts w:ascii="仿宋" w:hAnsi="仿宋" w:eastAsia="仿宋"/>
          <w:sz w:val="28"/>
          <w:szCs w:val="28"/>
        </w:rPr>
        <w:t>金课</w:t>
      </w:r>
      <w:r>
        <w:rPr>
          <w:rFonts w:hint="eastAsia" w:ascii="仿宋" w:hAnsi="仿宋" w:eastAsia="仿宋"/>
          <w:sz w:val="28"/>
          <w:szCs w:val="28"/>
        </w:rPr>
        <w:t>”战略， 推进“有效课堂”。艺术与建筑学院推动艺术专业创造力人才培养课程改革实验，以解决实际问题的“项目教学”为目标，以“工作室”为载体，重塑艺术专业课程体系和艺术人才培养模式（见案例7）；人文社会科学学院举办英语强基班，通过一次英语能力测试，选拔成绩优异的学生组成，授课以英语竞赛内容辅导为主，针对“外研社国才杯”演讲比赛和写作大赛、江苏省英语口语技能大赛等比赛，进行听说、写作基本知识和能力强化辅导，竞赛真题讲解与实践。学校确定2</w:t>
      </w:r>
      <w:r>
        <w:rPr>
          <w:rFonts w:ascii="仿宋" w:hAnsi="仿宋" w:eastAsia="仿宋"/>
          <w:sz w:val="28"/>
          <w:szCs w:val="28"/>
        </w:rPr>
        <w:t>022</w:t>
      </w:r>
      <w:r>
        <w:rPr>
          <w:rFonts w:hint="eastAsia" w:ascii="仿宋" w:hAnsi="仿宋" w:eastAsia="仿宋"/>
          <w:sz w:val="28"/>
          <w:szCs w:val="28"/>
        </w:rPr>
        <w:t>年为该校的课程改革年，稳步推进课程改革，特别是专业实践课程的改革。着眼于 “三教”改革的系统功能推进课程改革与建设，突出教师根本、教材基础、教法途径等重要作用，从其具体要素发力，推进课堂教学有效性的不断提升。首先调动教师课程改革的积极性和主动性，以赛促训，示范先行。本学年组织校级教师教学能力大赛，12个团队共30人参加组队比赛；举办该校的省市教学能力大赛获奖选手教学示范与交流，促进教师课堂教学能力的整体提升。举办202</w:t>
      </w:r>
      <w:r>
        <w:rPr>
          <w:rFonts w:ascii="仿宋" w:hAnsi="仿宋" w:eastAsia="仿宋"/>
          <w:sz w:val="28"/>
          <w:szCs w:val="28"/>
        </w:rPr>
        <w:t>2</w:t>
      </w:r>
      <w:r>
        <w:rPr>
          <w:rFonts w:hint="eastAsia" w:ascii="仿宋" w:hAnsi="仿宋" w:eastAsia="仿宋"/>
          <w:sz w:val="28"/>
          <w:szCs w:val="28"/>
        </w:rPr>
        <w:t>年校级微课比赛，1</w:t>
      </w:r>
      <w:r>
        <w:rPr>
          <w:rFonts w:ascii="仿宋" w:hAnsi="仿宋" w:eastAsia="仿宋"/>
          <w:sz w:val="28"/>
          <w:szCs w:val="28"/>
        </w:rPr>
        <w:t>3</w:t>
      </w:r>
      <w:r>
        <w:rPr>
          <w:rFonts w:hint="eastAsia" w:ascii="仿宋" w:hAnsi="仿宋" w:eastAsia="仿宋"/>
          <w:sz w:val="28"/>
          <w:szCs w:val="28"/>
        </w:rPr>
        <w:t>位教师获奖。第二，重视创新优质课程和教材建设，做好教材建设并及时更新课程标准。</w:t>
      </w:r>
      <w:r>
        <w:rPr>
          <w:rFonts w:ascii="仿宋" w:hAnsi="仿宋" w:eastAsia="仿宋"/>
          <w:sz w:val="28"/>
          <w:szCs w:val="28"/>
        </w:rPr>
        <w:t>该校深入学习教育部、教育厅关于教材管理办法等文件，全面推进该校教材建设工作。</w:t>
      </w:r>
      <w:r>
        <w:rPr>
          <w:rFonts w:hint="eastAsia" w:ascii="仿宋" w:hAnsi="仿宋" w:eastAsia="仿宋"/>
          <w:sz w:val="28"/>
          <w:szCs w:val="28"/>
        </w:rPr>
        <w:t>重视</w:t>
      </w:r>
      <w:r>
        <w:rPr>
          <w:rFonts w:ascii="仿宋" w:hAnsi="仿宋" w:eastAsia="仿宋"/>
          <w:sz w:val="28"/>
          <w:szCs w:val="28"/>
        </w:rPr>
        <w:t>教材在人才培养中具有培根铸魂、强基固本的重要作用。该校</w:t>
      </w:r>
      <w:r>
        <w:rPr>
          <w:rFonts w:hint="eastAsia" w:ascii="仿宋" w:hAnsi="仿宋" w:eastAsia="仿宋"/>
          <w:sz w:val="28"/>
          <w:szCs w:val="28"/>
        </w:rPr>
        <w:t>教材建设是在</w:t>
      </w:r>
      <w:r>
        <w:rPr>
          <w:rFonts w:ascii="仿宋" w:hAnsi="仿宋" w:eastAsia="仿宋"/>
          <w:sz w:val="28"/>
          <w:szCs w:val="28"/>
        </w:rPr>
        <w:t>党委统一领导、党政齐抓共管</w:t>
      </w:r>
      <w:r>
        <w:rPr>
          <w:rFonts w:hint="eastAsia" w:ascii="仿宋" w:hAnsi="仿宋" w:eastAsia="仿宋"/>
          <w:sz w:val="28"/>
          <w:szCs w:val="28"/>
        </w:rPr>
        <w:t>下</w:t>
      </w:r>
      <w:r>
        <w:rPr>
          <w:rFonts w:ascii="仿宋" w:hAnsi="仿宋" w:eastAsia="仿宋"/>
          <w:sz w:val="28"/>
          <w:szCs w:val="28"/>
        </w:rPr>
        <w:t>，完善学校教材建设制度、建立教材研究与审核机构</w:t>
      </w:r>
      <w:r>
        <w:rPr>
          <w:rFonts w:hint="eastAsia" w:ascii="仿宋" w:hAnsi="仿宋" w:eastAsia="仿宋"/>
          <w:sz w:val="28"/>
          <w:szCs w:val="28"/>
        </w:rPr>
        <w:t>。</w:t>
      </w:r>
      <w:r>
        <w:rPr>
          <w:rFonts w:ascii="仿宋" w:hAnsi="仿宋" w:eastAsia="仿宋"/>
          <w:sz w:val="28"/>
          <w:szCs w:val="28"/>
        </w:rPr>
        <w:t>按照学科组成立相应的</w:t>
      </w:r>
      <w:r>
        <w:rPr>
          <w:rFonts w:hint="eastAsia" w:ascii="仿宋" w:hAnsi="仿宋" w:eastAsia="仿宋"/>
          <w:sz w:val="28"/>
          <w:szCs w:val="28"/>
        </w:rPr>
        <w:t>二级小组，重视教材管理的原则性、严谨性、重要性，切实把学校教材建设与管理工作做实做细。推动活页式教材和工作手册式教材建设，同蓝墨云公司合作，推进云教材建设。通过努力，艺术与建筑学院张金威老师的《3ds Max &amp; V-Ray室内外空间表现》教材入选“十三五”国家规划教材以后，该校申报的《公共英语》课程获省级职业教育课程思政示范课程。第三，教法改进上，倡导集体备课，人文社科学院的思想政治系列课程、公共英语课程开展集体备课已成习惯，具有特色，在提升全体教师团队教学能力和公共基础课堂教学成效上，发挥重要作用。艺术与建筑学院推进创造力人才培养课程改革实验，开展专业课程集体备课，统一思想，稳定节奏，力排障碍，稳健并有效推进。医学与公共服务学院结合本院青年教师集中和外聘专家集聚特点，通过集体备课，紧跟时代前沿，指导青年教师成长，提升课堂教学质量。本学年，该校校企合作开发课程2</w:t>
      </w:r>
      <w:r>
        <w:rPr>
          <w:rFonts w:ascii="仿宋" w:hAnsi="仿宋" w:eastAsia="仿宋"/>
          <w:sz w:val="28"/>
          <w:szCs w:val="28"/>
        </w:rPr>
        <w:t>53</w:t>
      </w:r>
      <w:r>
        <w:rPr>
          <w:rFonts w:hint="eastAsia" w:ascii="仿宋" w:hAnsi="仿宋" w:eastAsia="仿宋"/>
          <w:sz w:val="28"/>
          <w:szCs w:val="28"/>
        </w:rPr>
        <w:t>门；教师主编出版教材</w:t>
      </w:r>
      <w:r>
        <w:rPr>
          <w:rFonts w:ascii="仿宋" w:hAnsi="仿宋" w:eastAsia="仿宋"/>
          <w:sz w:val="28"/>
          <w:szCs w:val="28"/>
        </w:rPr>
        <w:t>19</w:t>
      </w:r>
      <w:r>
        <w:rPr>
          <w:rFonts w:hint="eastAsia" w:ascii="仿宋" w:hAnsi="仿宋" w:eastAsia="仿宋"/>
          <w:sz w:val="28"/>
          <w:szCs w:val="28"/>
        </w:rPr>
        <w:t>部；校企合作开发教材1</w:t>
      </w:r>
      <w:r>
        <w:rPr>
          <w:rFonts w:ascii="仿宋" w:hAnsi="仿宋" w:eastAsia="仿宋"/>
          <w:sz w:val="28"/>
          <w:szCs w:val="28"/>
        </w:rPr>
        <w:t>1</w:t>
      </w:r>
      <w:r>
        <w:rPr>
          <w:rFonts w:hint="eastAsia" w:ascii="仿宋" w:hAnsi="仿宋" w:eastAsia="仿宋"/>
          <w:sz w:val="28"/>
          <w:szCs w:val="28"/>
        </w:rPr>
        <w:t>部。目前，该校拥有苏州“优秀新课程”3项；在建首批在苏高校精品在线开放课程1项；</w:t>
      </w:r>
      <w:r>
        <w:rPr>
          <w:rFonts w:ascii="仿宋" w:hAnsi="仿宋" w:eastAsia="仿宋"/>
          <w:sz w:val="28"/>
          <w:szCs w:val="28"/>
        </w:rPr>
        <w:t>省级高校在线开放课程8</w:t>
      </w:r>
      <w:r>
        <w:rPr>
          <w:rFonts w:hint="eastAsia" w:ascii="仿宋" w:hAnsi="仿宋" w:eastAsia="仿宋"/>
          <w:sz w:val="28"/>
          <w:szCs w:val="28"/>
        </w:rPr>
        <w:t>项；省高等学校重点教材立项建设1项；入选“十三五”国家规划教材1项；省级职业教育课程思政示范课程1项。</w:t>
      </w:r>
    </w:p>
    <w:p>
      <w:pPr>
        <w:adjustRightInd w:val="0"/>
        <w:snapToGrid w:val="0"/>
        <w:spacing w:line="360" w:lineRule="auto"/>
        <w:ind w:firstLine="560" w:firstLineChars="200"/>
        <w:rPr>
          <w:rFonts w:ascii="仿宋" w:hAnsi="仿宋" w:eastAsia="仿宋"/>
          <w:sz w:val="28"/>
          <w:szCs w:val="28"/>
        </w:rPr>
      </w:pPr>
    </w:p>
    <w:p>
      <w:pPr>
        <w:adjustRightInd w:val="0"/>
        <w:snapToGrid w:val="0"/>
        <w:spacing w:line="360" w:lineRule="auto"/>
        <w:ind w:firstLine="482" w:firstLineChars="200"/>
        <w:jc w:val="left"/>
        <w:outlineLvl w:val="2"/>
        <w:rPr>
          <w:rFonts w:ascii="仿宋_GB2312" w:hAnsi="宋体" w:eastAsia="仿宋_GB2312"/>
          <w:b/>
          <w:color w:val="000000" w:themeColor="text1"/>
          <w:sz w:val="24"/>
          <w:szCs w:val="24"/>
        </w:rPr>
      </w:pPr>
      <w:bookmarkStart w:id="153" w:name="_Toc119932703"/>
      <w:bookmarkStart w:id="154" w:name="_Toc124087891"/>
      <w:r>
        <w:rPr>
          <w:rFonts w:hint="eastAsia" w:ascii="仿宋_GB2312" w:hAnsi="宋体" w:eastAsia="仿宋_GB2312"/>
          <w:b/>
          <w:color w:val="000000" w:themeColor="text1"/>
          <w:sz w:val="24"/>
          <w:szCs w:val="24"/>
        </w:rPr>
        <w:t>案例</w:t>
      </w:r>
      <w:r>
        <w:rPr>
          <w:rFonts w:ascii="仿宋_GB2312" w:hAnsi="宋体" w:eastAsia="仿宋_GB2312"/>
          <w:b/>
          <w:color w:val="000000" w:themeColor="text1"/>
          <w:sz w:val="24"/>
          <w:szCs w:val="24"/>
        </w:rPr>
        <w:t>7</w:t>
      </w:r>
      <w:r>
        <w:rPr>
          <w:rFonts w:hint="eastAsia" w:ascii="仿宋_GB2312" w:hAnsi="宋体" w:eastAsia="仿宋_GB2312"/>
          <w:b/>
          <w:color w:val="000000" w:themeColor="text1"/>
          <w:sz w:val="24"/>
          <w:szCs w:val="24"/>
        </w:rPr>
        <w:t>：</w:t>
      </w:r>
      <w:bookmarkStart w:id="155" w:name="_Hlk118984389"/>
      <w:r>
        <w:rPr>
          <w:rFonts w:hint="eastAsia" w:ascii="仿宋_GB2312" w:hAnsi="宋体" w:eastAsia="仿宋_GB2312"/>
          <w:b/>
          <w:color w:val="000000" w:themeColor="text1"/>
          <w:sz w:val="24"/>
          <w:szCs w:val="24"/>
        </w:rPr>
        <w:t>【工作室运行体系下</w:t>
      </w:r>
      <w:r>
        <w:rPr>
          <w:rFonts w:ascii="仿宋_GB2312" w:hAnsi="宋体" w:eastAsia="仿宋_GB2312"/>
          <w:b/>
          <w:color w:val="000000" w:themeColor="text1"/>
          <w:sz w:val="24"/>
          <w:szCs w:val="24"/>
        </w:rPr>
        <w:t>的</w:t>
      </w:r>
      <w:bookmarkStart w:id="156" w:name="_Hlk119653168"/>
      <w:r>
        <w:rPr>
          <w:rFonts w:hint="eastAsia" w:ascii="仿宋_GB2312" w:hAnsi="宋体" w:eastAsia="仿宋_GB2312"/>
          <w:b/>
          <w:color w:val="000000" w:themeColor="text1"/>
          <w:sz w:val="24"/>
          <w:szCs w:val="24"/>
        </w:rPr>
        <w:t>专业</w:t>
      </w:r>
      <w:r>
        <w:rPr>
          <w:rFonts w:ascii="仿宋_GB2312" w:hAnsi="宋体" w:eastAsia="仿宋_GB2312"/>
          <w:b/>
          <w:color w:val="000000" w:themeColor="text1"/>
          <w:sz w:val="24"/>
          <w:szCs w:val="24"/>
        </w:rPr>
        <w:t>课程项目化</w:t>
      </w:r>
      <w:r>
        <w:rPr>
          <w:rFonts w:hint="eastAsia" w:ascii="仿宋_GB2312" w:hAnsi="宋体" w:eastAsia="仿宋_GB2312"/>
          <w:b/>
          <w:color w:val="000000" w:themeColor="text1"/>
          <w:sz w:val="24"/>
          <w:szCs w:val="24"/>
        </w:rPr>
        <w:t>改革</w:t>
      </w:r>
      <w:bookmarkEnd w:id="156"/>
      <w:r>
        <w:rPr>
          <w:rFonts w:hint="eastAsia" w:ascii="仿宋_GB2312" w:hAnsi="宋体" w:eastAsia="仿宋_GB2312"/>
          <w:b/>
          <w:color w:val="000000" w:themeColor="text1"/>
          <w:sz w:val="24"/>
          <w:szCs w:val="24"/>
        </w:rPr>
        <w:t>】</w:t>
      </w:r>
      <w:bookmarkEnd w:id="153"/>
      <w:bookmarkEnd w:id="154"/>
      <w:bookmarkEnd w:id="155"/>
    </w:p>
    <w:p>
      <w:pPr>
        <w:widowControl/>
        <w:spacing w:line="360" w:lineRule="auto"/>
        <w:ind w:firstLine="480" w:firstLineChars="200"/>
        <w:rPr>
          <w:rFonts w:ascii="楷体_GB2312" w:hAnsi="宋体" w:eastAsia="楷体_GB2312" w:cs="Times New Roman"/>
          <w:color w:val="000000" w:themeColor="text1"/>
          <w:kern w:val="0"/>
          <w:sz w:val="24"/>
          <w:szCs w:val="24"/>
        </w:rPr>
      </w:pPr>
      <w:r>
        <w:rPr>
          <w:rFonts w:hint="eastAsia" w:ascii="楷体_GB2312" w:hAnsi="宋体" w:eastAsia="楷体_GB2312" w:cs="Times New Roman"/>
          <w:color w:val="000000" w:themeColor="text1"/>
          <w:kern w:val="0"/>
          <w:sz w:val="24"/>
          <w:szCs w:val="24"/>
        </w:rPr>
        <w:t>该校艺术与建筑学院以具体项目作为专业课程教学载体，颠覆了传统的系部、教研室的教学组织体系，创建了新媒艺、新视界、匠新、苏园、建工咨询等五个工作室推进专业课程项目化改革。对接苏州周边企业标准或区域特色景观，以合作签约的真实项目、艺术大赛的经典项目、建筑设计的完成项目或极富创意的虚拟项目，打造完成了《一步一景</w:t>
      </w:r>
      <w:r>
        <w:rPr>
          <w:rFonts w:ascii="楷体_GB2312" w:hAnsi="宋体" w:eastAsia="楷体_GB2312" w:cs="Times New Roman"/>
          <w:color w:val="000000" w:themeColor="text1"/>
          <w:kern w:val="0"/>
          <w:sz w:val="24"/>
          <w:szCs w:val="24"/>
        </w:rPr>
        <w:t>.树山人情》、《太湖游击队》《梦想照进现实》《以社区办公楼为载体的土建》《奶油森林别墅空间设计》《集城·城市阅读文化中心设计》《千面苏州形象表情包》等38个项目</w:t>
      </w:r>
      <w:r>
        <w:rPr>
          <w:rFonts w:hint="eastAsia" w:ascii="楷体_GB2312" w:hAnsi="宋体" w:eastAsia="楷体_GB2312" w:cs="Times New Roman"/>
          <w:color w:val="000000" w:themeColor="text1"/>
          <w:kern w:val="0"/>
          <w:sz w:val="24"/>
          <w:szCs w:val="24"/>
        </w:rPr>
        <w:t>。项目化课程改变了传统的试卷考试，采用企业标准项目流程对学生进行考核。学期末各工作室举行期末项目课程汇报及教学评价，满两个学年或者毕业前夕举办毕业设计作品展暨企业人才招聘洽谈会，让课程教学进程中的学习成果-</w:t>
      </w:r>
      <w:r>
        <w:rPr>
          <w:rFonts w:ascii="楷体_GB2312" w:hAnsi="宋体" w:eastAsia="楷体_GB2312" w:cs="Times New Roman"/>
          <w:color w:val="000000" w:themeColor="text1"/>
          <w:kern w:val="0"/>
          <w:sz w:val="24"/>
          <w:szCs w:val="24"/>
        </w:rPr>
        <w:t>-</w:t>
      </w:r>
      <w:r>
        <w:rPr>
          <w:rFonts w:hint="eastAsia" w:ascii="楷体_GB2312" w:hAnsi="宋体" w:eastAsia="楷体_GB2312" w:cs="Times New Roman"/>
          <w:color w:val="000000" w:themeColor="text1"/>
          <w:kern w:val="0"/>
          <w:sz w:val="24"/>
          <w:szCs w:val="24"/>
        </w:rPr>
        <w:t>学生项目作品成为企业选人的直观载体。专业课程的项目化改革使学生成为真正的自主学习主体，师生互助互补，共生共长。</w:t>
      </w:r>
      <w:r>
        <w:rPr>
          <w:rFonts w:ascii="楷体_GB2312" w:hAnsi="宋体" w:eastAsia="楷体_GB2312" w:cs="Times New Roman"/>
          <w:color w:val="000000" w:themeColor="text1"/>
          <w:kern w:val="0"/>
          <w:sz w:val="24"/>
          <w:szCs w:val="24"/>
        </w:rPr>
        <w:t>2022年江苏省职业院校技能大赛“建筑装饰技术应用”赛项中包林鑫、李久琪荣获二等奖</w:t>
      </w:r>
      <w:r>
        <w:rPr>
          <w:rFonts w:hint="eastAsia" w:ascii="楷体_GB2312" w:hAnsi="宋体" w:eastAsia="楷体_GB2312" w:cs="Times New Roman"/>
          <w:color w:val="000000" w:themeColor="text1"/>
          <w:kern w:val="0"/>
          <w:sz w:val="24"/>
          <w:szCs w:val="24"/>
        </w:rPr>
        <w:t>并</w:t>
      </w:r>
      <w:r>
        <w:rPr>
          <w:rFonts w:ascii="楷体_GB2312" w:hAnsi="宋体" w:eastAsia="楷体_GB2312" w:cs="Times New Roman"/>
          <w:color w:val="000000" w:themeColor="text1"/>
          <w:kern w:val="0"/>
          <w:sz w:val="24"/>
          <w:szCs w:val="24"/>
        </w:rPr>
        <w:t>晋级国赛选手选拔；在“室内艺术设计（学生组）”赛项沈玥辉获三等奖；</w:t>
      </w:r>
      <w:r>
        <w:rPr>
          <w:rFonts w:hint="eastAsia" w:ascii="楷体_GB2312" w:hAnsi="宋体" w:eastAsia="楷体_GB2312" w:cs="Times New Roman"/>
          <w:color w:val="000000" w:themeColor="text1"/>
          <w:kern w:val="0"/>
          <w:sz w:val="24"/>
          <w:szCs w:val="24"/>
        </w:rPr>
        <w:t>多位学生相继荣获全国高校数字设计大赛三等奖；未来设计师</w:t>
      </w:r>
      <w:r>
        <w:rPr>
          <w:rFonts w:ascii="楷体_GB2312" w:hAnsi="宋体" w:eastAsia="楷体_GB2312" w:cs="Times New Roman"/>
          <w:color w:val="000000" w:themeColor="text1"/>
          <w:kern w:val="0"/>
          <w:sz w:val="24"/>
          <w:szCs w:val="24"/>
        </w:rPr>
        <w:t>全国高校数字艺术设计江苏赛区一等奖、二等奖； 2022江苏省高校网络教育优秀作品一等奖、三等奖；第14届全国大学生广告艺术大赛江苏赛区三等奖；苏州市禁毒社工形象创意设计大赛三等奖，十佳网络人气奖等</w:t>
      </w:r>
      <w:r>
        <w:rPr>
          <w:rFonts w:hint="eastAsia" w:ascii="楷体_GB2312" w:hAnsi="宋体" w:eastAsia="楷体_GB2312" w:cs="Times New Roman"/>
          <w:color w:val="000000" w:themeColor="text1"/>
          <w:kern w:val="0"/>
          <w:sz w:val="24"/>
          <w:szCs w:val="24"/>
        </w:rPr>
        <w:t>。</w:t>
      </w:r>
    </w:p>
    <w:p>
      <w:pPr>
        <w:widowControl/>
        <w:spacing w:line="360" w:lineRule="auto"/>
        <w:ind w:firstLine="480" w:firstLineChars="200"/>
        <w:rPr>
          <w:rFonts w:ascii="楷体_GB2312" w:hAnsi="宋体" w:eastAsia="楷体_GB2312" w:cs="Times New Roman"/>
          <w:color w:val="000000" w:themeColor="text1"/>
          <w:kern w:val="0"/>
          <w:sz w:val="24"/>
          <w:szCs w:val="24"/>
        </w:rPr>
      </w:pPr>
    </w:p>
    <w:bookmarkEnd w:id="150"/>
    <w:bookmarkEnd w:id="151"/>
    <w:bookmarkEnd w:id="152"/>
    <w:p>
      <w:pPr>
        <w:pStyle w:val="3"/>
        <w:spacing w:before="0" w:after="0" w:line="360" w:lineRule="auto"/>
        <w:ind w:firstLine="562" w:firstLineChars="200"/>
        <w:rPr>
          <w:rFonts w:ascii="仿宋_GB2312" w:eastAsia="仿宋_GB2312" w:hAnsiTheme="minorEastAsia"/>
          <w:sz w:val="28"/>
          <w:szCs w:val="28"/>
        </w:rPr>
      </w:pPr>
      <w:bookmarkStart w:id="157" w:name="_Toc532826563"/>
      <w:bookmarkStart w:id="158" w:name="_Toc500492308"/>
      <w:bookmarkStart w:id="159" w:name="_Toc533519411"/>
      <w:bookmarkStart w:id="160" w:name="_Toc124087892"/>
      <w:bookmarkStart w:id="161" w:name="_Toc532826562"/>
      <w:bookmarkStart w:id="162" w:name="_Toc500492306"/>
      <w:bookmarkStart w:id="163" w:name="_Toc533519410"/>
      <w:r>
        <w:rPr>
          <w:rFonts w:hint="eastAsia" w:ascii="仿宋_GB2312" w:eastAsia="仿宋_GB2312" w:hAnsiTheme="minorEastAsia"/>
          <w:sz w:val="28"/>
          <w:szCs w:val="28"/>
        </w:rPr>
        <w:t>2</w:t>
      </w:r>
      <w:r>
        <w:rPr>
          <w:rFonts w:ascii="仿宋_GB2312" w:eastAsia="仿宋_GB2312" w:hAnsiTheme="minorEastAsia"/>
          <w:sz w:val="28"/>
          <w:szCs w:val="28"/>
        </w:rPr>
        <w:t>.5</w:t>
      </w:r>
      <w:r>
        <w:rPr>
          <w:rFonts w:hint="eastAsia" w:ascii="仿宋_GB2312" w:eastAsia="仿宋_GB2312" w:hAnsiTheme="minorEastAsia"/>
          <w:sz w:val="28"/>
          <w:szCs w:val="28"/>
        </w:rPr>
        <w:t>信息技术</w:t>
      </w:r>
      <w:bookmarkEnd w:id="157"/>
      <w:bookmarkEnd w:id="158"/>
      <w:bookmarkEnd w:id="159"/>
      <w:bookmarkEnd w:id="160"/>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学校继续加大智慧</w:t>
      </w:r>
      <w:r>
        <w:rPr>
          <w:rFonts w:ascii="仿宋" w:hAnsi="仿宋" w:eastAsia="仿宋"/>
          <w:sz w:val="28"/>
          <w:szCs w:val="28"/>
        </w:rPr>
        <w:t>校园建设投入，</w:t>
      </w:r>
      <w:r>
        <w:rPr>
          <w:rFonts w:hint="eastAsia" w:ascii="仿宋" w:hAnsi="仿宋" w:eastAsia="仿宋"/>
          <w:sz w:val="28"/>
          <w:szCs w:val="28"/>
        </w:rPr>
        <w:t>学校接入互联网出口带宽不断扩容，目前已达1300Mbps，比2018年的200 Mbps增加了6倍，接入中国教育和科研计算机网，校园主干网络实现万兆，网站等信息系统支持I</w:t>
      </w:r>
      <w:r>
        <w:rPr>
          <w:rFonts w:ascii="仿宋" w:hAnsi="仿宋" w:eastAsia="仿宋"/>
          <w:sz w:val="28"/>
          <w:szCs w:val="28"/>
        </w:rPr>
        <w:t>Pv6</w:t>
      </w:r>
      <w:r>
        <w:rPr>
          <w:rFonts w:hint="eastAsia" w:ascii="仿宋" w:hAnsi="仿宋" w:eastAsia="仿宋"/>
          <w:sz w:val="28"/>
          <w:szCs w:val="28"/>
        </w:rPr>
        <w:t>访问。继续推进信息资源数据库、网站群系统、统一身份认证、教学管理、学工管理、财务管理、人事管理和OA办公业务信息化建设，继2020年该校档案等实现在线查阅和在线管理以来，所有校园信息系统均纳入学校虚拟化数据中心平台统一管理，建成的2套虚拟化数据中心平台可提供未来五年学校信息化全面发展需要的服务器等资源。该校继续学习落实教育部的《职业院校数字校园规范》，作为江苏省智慧校园，持续强化建设指标体系的建设与落实，强化该校师生发展信息化要求的指标学习与落实，为了支持教师录播视频，现已建设了高水平的智慧教室。为了保证信息安全，强化信息管理，本学年该校出台了《苏州高博软件技术职业学院首席信息官（CIO）制度》，对学校及二级单位的首席信息官的聘任、岗位职责、工作流程、评价预考核等作了规定，以便全面推进该校教育信息化建设工作，确保分层实施，有效落实。</w:t>
      </w:r>
    </w:p>
    <w:p>
      <w:pPr>
        <w:adjustRightInd w:val="0"/>
        <w:snapToGrid w:val="0"/>
        <w:spacing w:line="360" w:lineRule="auto"/>
        <w:ind w:firstLine="560" w:firstLineChars="200"/>
        <w:rPr>
          <w:rFonts w:ascii="仿宋" w:hAnsi="仿宋" w:eastAsia="仿宋"/>
          <w:sz w:val="28"/>
          <w:szCs w:val="28"/>
        </w:rPr>
      </w:pPr>
      <w:r>
        <w:rPr>
          <w:rFonts w:ascii="仿宋" w:hAnsi="仿宋" w:eastAsia="仿宋"/>
          <w:sz w:val="28"/>
          <w:szCs w:val="28"/>
        </w:rPr>
        <w:t>本</w:t>
      </w:r>
      <w:r>
        <w:rPr>
          <w:rFonts w:hint="eastAsia" w:ascii="仿宋" w:hAnsi="仿宋" w:eastAsia="仿宋"/>
          <w:sz w:val="28"/>
          <w:szCs w:val="28"/>
        </w:rPr>
        <w:t>学年选用超星尔雅慕课通识教育类课程</w:t>
      </w:r>
      <w:r>
        <w:rPr>
          <w:rFonts w:ascii="仿宋" w:hAnsi="仿宋" w:eastAsia="仿宋"/>
          <w:sz w:val="28"/>
          <w:szCs w:val="28"/>
        </w:rPr>
        <w:t>93</w:t>
      </w:r>
      <w:r>
        <w:rPr>
          <w:rFonts w:hint="eastAsia" w:ascii="仿宋" w:hAnsi="仿宋" w:eastAsia="仿宋"/>
          <w:sz w:val="28"/>
          <w:szCs w:val="28"/>
        </w:rPr>
        <w:t>门次，面向全院学生开放； 2020江苏省</w:t>
      </w:r>
      <w:r>
        <w:rPr>
          <w:rFonts w:hint="eastAsia" w:ascii="宋体" w:hAnsi="宋体" w:eastAsia="宋体" w:cs="Tahoma"/>
          <w:color w:val="333333"/>
          <w:kern w:val="0"/>
          <w:sz w:val="27"/>
          <w:szCs w:val="27"/>
        </w:rPr>
        <w:t>第11届</w:t>
      </w:r>
      <w:r>
        <w:rPr>
          <w:rFonts w:hint="eastAsia" w:ascii="仿宋" w:hAnsi="仿宋" w:eastAsia="仿宋"/>
          <w:sz w:val="28"/>
          <w:szCs w:val="28"/>
        </w:rPr>
        <w:t>蓝桥杯大赛JAVA程序设计，江苏赛区比赛中，卓星星、张家睿分获一等奖；曹晓龙获二等奖；王莹莹、郑永爱、秦晓燕分获优秀指导教师奖；全国总决赛中张家睿获三等奖；郑永爱获优秀指导教师奖。</w:t>
      </w:r>
      <w:r>
        <w:rPr>
          <w:rFonts w:ascii="仿宋" w:hAnsi="仿宋" w:eastAsia="仿宋"/>
          <w:sz w:val="28"/>
          <w:szCs w:val="28"/>
        </w:rPr>
        <w:t>2022年5月，张家睿同学参加了第十三届蓝桥杯全国软件和信息技术专业人才大赛江苏赛区C语言程序设计大学</w:t>
      </w:r>
      <w:r>
        <w:rPr>
          <w:rFonts w:hint="eastAsia" w:ascii="仿宋" w:hAnsi="仿宋" w:eastAsia="仿宋"/>
          <w:sz w:val="28"/>
          <w:szCs w:val="28"/>
        </w:rPr>
        <w:t>荣获</w:t>
      </w:r>
      <w:r>
        <w:rPr>
          <w:rFonts w:ascii="仿宋" w:hAnsi="仿宋" w:eastAsia="仿宋"/>
          <w:sz w:val="28"/>
          <w:szCs w:val="28"/>
        </w:rPr>
        <w:t>C组一等奖</w:t>
      </w:r>
      <w:r>
        <w:rPr>
          <w:rFonts w:hint="eastAsia" w:ascii="仿宋" w:hAnsi="仿宋" w:eastAsia="仿宋"/>
          <w:sz w:val="28"/>
          <w:szCs w:val="28"/>
        </w:rPr>
        <w:t>。</w:t>
      </w:r>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在智慧校园建设和信息技术管理方面，该校加强同信息技术平台或技术服务公司合作，升级 “方正教务管理系统”新版本，提升其教务管理智能化等功能；引入 “国家信息安全水平授权考试中心”，建设“国家网络空间安全人才培养输送中心”，面向社会开展信息安全考试认证；拓展与“超星公司”合作项目，提升该校利用现代信息技术的教学能力和水平；开展“在线考试系统应用”专题培训，就超星平台考试系统功能，从题库创建、试卷组卷、保密设置、试卷发放、防作弊方法、教师监考、试卷批阅等模块进行训练，满足线上考试需要，探索信息化背景下考试方式改革；召开年度信息化建设与网络安全工作会议，讨论教育信息化建设与网络安全等工作，分享近期智慧校园建设成果，并对教师信息化能力培训、数字图书馆建设、数据灾备系统建设、校园网络安全构建、新校区校园网络基础建设等重点任务进行部署，就网络安全管理提出具体要求。</w:t>
      </w:r>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本学年上、下两个学期为疫情防控所采取4 +</w:t>
      </w:r>
      <w:r>
        <w:rPr>
          <w:rFonts w:ascii="仿宋" w:hAnsi="仿宋" w:eastAsia="仿宋"/>
          <w:sz w:val="28"/>
          <w:szCs w:val="28"/>
        </w:rPr>
        <w:t>12</w:t>
      </w:r>
      <w:r>
        <w:rPr>
          <w:rFonts w:hint="eastAsia" w:ascii="仿宋" w:hAnsi="仿宋" w:eastAsia="仿宋"/>
          <w:sz w:val="28"/>
          <w:szCs w:val="28"/>
        </w:rPr>
        <w:t>周的在线教学，进一步促进了该校教学运行的信息技术工具应用和在线管理，促进了全体教师的信息技术应用能力提升。学校</w:t>
      </w:r>
      <w:r>
        <w:rPr>
          <w:rFonts w:ascii="仿宋" w:hAnsi="仿宋" w:eastAsia="仿宋"/>
          <w:sz w:val="28"/>
          <w:szCs w:val="28"/>
        </w:rPr>
        <w:t>力推各</w:t>
      </w:r>
      <w:r>
        <w:rPr>
          <w:rFonts w:hint="eastAsia" w:ascii="仿宋" w:hAnsi="仿宋" w:eastAsia="仿宋"/>
          <w:sz w:val="28"/>
          <w:szCs w:val="28"/>
        </w:rPr>
        <w:t>二级学院</w:t>
      </w:r>
      <w:r>
        <w:rPr>
          <w:rFonts w:ascii="仿宋" w:hAnsi="仿宋" w:eastAsia="仿宋"/>
          <w:sz w:val="28"/>
          <w:szCs w:val="28"/>
        </w:rPr>
        <w:t>改进在线教学方式，通过组织参加多场线上+线下信息化教学培训会议，各任课教师熟练掌握“超星一平三端+腾讯会议”新模式线上教学平台的应用能力，确保线上教学、线上考试工作有序进行。本学期超星平台中上线教师人数305人，上线学生人数8628人，活跃课程数628门，教师批阅作业72105次，发布测验及考试1407次，学生总体签到率84.97%；教师利用腾讯会议开展直播教学11671场次，直播总时长17401.7小时。学校对线上教学活动进行全过程质量监控，组织校院两级督导采取电脑端听课，手机端评教，通过登录超星在线督导平台，线上一键连入教师腾讯会议直播课堂，实时掌握教师教学、学生学习情况，结合超星平台中课程画像、教师画像、学生画像等大数据与各个课堂听课的评价数据，多元化的在手机学习通APP端进行教学评价，本学期督导累积在线评课651人次，100%覆盖全体任课教师。</w:t>
      </w:r>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利用信息技术平台及工具，</w:t>
      </w:r>
      <w:r>
        <w:rPr>
          <w:rFonts w:ascii="仿宋" w:hAnsi="仿宋" w:eastAsia="仿宋"/>
          <w:sz w:val="28"/>
          <w:szCs w:val="28"/>
        </w:rPr>
        <w:t>多维度创新推</w:t>
      </w:r>
      <w:r>
        <w:rPr>
          <w:rFonts w:hint="eastAsia" w:ascii="仿宋" w:hAnsi="仿宋" w:eastAsia="仿宋"/>
          <w:sz w:val="28"/>
          <w:szCs w:val="28"/>
        </w:rPr>
        <w:t>动教学管理体系及要素建设。如</w:t>
      </w:r>
      <w:r>
        <w:rPr>
          <w:rFonts w:ascii="仿宋" w:hAnsi="仿宋" w:eastAsia="仿宋"/>
          <w:sz w:val="28"/>
          <w:szCs w:val="28"/>
        </w:rPr>
        <w:t>学分银行建设</w:t>
      </w:r>
      <w:r>
        <w:rPr>
          <w:rFonts w:hint="eastAsia" w:ascii="仿宋" w:hAnsi="仿宋" w:eastAsia="仿宋"/>
          <w:sz w:val="28"/>
          <w:szCs w:val="28"/>
        </w:rPr>
        <w:t>，该校</w:t>
      </w:r>
      <w:r>
        <w:rPr>
          <w:rFonts w:ascii="仿宋" w:hAnsi="仿宋" w:eastAsia="仿宋"/>
          <w:sz w:val="28"/>
          <w:szCs w:val="28"/>
        </w:rPr>
        <w:t>根据国家、省学分银行建设相关文件精神，完善教育评价体系，促进学生个性化发展，</w:t>
      </w:r>
      <w:r>
        <w:rPr>
          <w:rFonts w:hint="eastAsia" w:ascii="仿宋" w:hAnsi="仿宋" w:eastAsia="仿宋"/>
          <w:sz w:val="28"/>
          <w:szCs w:val="28"/>
        </w:rPr>
        <w:t>在</w:t>
      </w:r>
      <w:r>
        <w:rPr>
          <w:rFonts w:ascii="仿宋" w:hAnsi="仿宋" w:eastAsia="仿宋"/>
          <w:sz w:val="28"/>
          <w:szCs w:val="28"/>
        </w:rPr>
        <w:t>出台《苏州高博软件技术职业学院学分银行管理办法（试行）》，进一步明确学分银行的定义、认定范围标准及兑换原则</w:t>
      </w:r>
      <w:r>
        <w:rPr>
          <w:rFonts w:hint="eastAsia" w:ascii="仿宋" w:hAnsi="仿宋" w:eastAsia="仿宋"/>
          <w:sz w:val="28"/>
          <w:szCs w:val="28"/>
        </w:rPr>
        <w:t>基础上</w:t>
      </w:r>
      <w:r>
        <w:rPr>
          <w:rFonts w:ascii="仿宋" w:hAnsi="仿宋" w:eastAsia="仿宋"/>
          <w:sz w:val="28"/>
          <w:szCs w:val="28"/>
        </w:rPr>
        <w:t>，基于新版正方教务系统，联合正方公司共同创新设计学分银行的学分存储申请及学分兑换课程的模块功能，优化了该校学分银行管理方式，使学生可以利用信息化平台在线上开展奖励学分的存储与兑换，二级学院和教务处在线上进行相关审核工作。本年度在线上学分银行成功申请564人次，认定存储学分2095分,兑换课程学分165分。下一阶段，该校将</w:t>
      </w:r>
      <w:r>
        <w:rPr>
          <w:rFonts w:hint="eastAsia" w:ascii="仿宋" w:hAnsi="仿宋" w:eastAsia="仿宋"/>
          <w:sz w:val="28"/>
          <w:szCs w:val="28"/>
        </w:rPr>
        <w:t>通过</w:t>
      </w:r>
      <w:r>
        <w:rPr>
          <w:rFonts w:ascii="仿宋" w:hAnsi="仿宋" w:eastAsia="仿宋"/>
          <w:sz w:val="28"/>
          <w:szCs w:val="28"/>
        </w:rPr>
        <w:t>优化人才培养方案，促进课证双向融通，拓宽学习成果认定范围，规范非学历教育成果与学历教育学分之间的相互转换，充分发挥信息技术优势，做好学生学习成果的认定、积累和转换工作，构建教育立交桥，引导、激励学生持续学习，高质量的开展学分银行认定和转换工作。</w:t>
      </w:r>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通过努力，该校信息化教学及管理能力不断提升，信息化应用特色和成效进一步凸显。自该校被认定为“江苏省智慧校园”以后，信息化建设与管理中心赵满群同志荣获“江苏省高校信息化建设先进个人”称号。</w:t>
      </w:r>
    </w:p>
    <w:p>
      <w:pPr>
        <w:pStyle w:val="3"/>
        <w:spacing w:before="0" w:after="0" w:line="360" w:lineRule="auto"/>
        <w:ind w:firstLine="562" w:firstLineChars="200"/>
        <w:rPr>
          <w:rFonts w:ascii="仿宋_GB2312" w:eastAsia="仿宋_GB2312" w:hAnsiTheme="minorEastAsia"/>
          <w:sz w:val="28"/>
          <w:szCs w:val="28"/>
        </w:rPr>
      </w:pPr>
      <w:bookmarkStart w:id="164" w:name="_Toc124087893"/>
      <w:bookmarkStart w:id="165" w:name="_Toc532826564"/>
      <w:bookmarkStart w:id="166" w:name="_Toc500492309"/>
      <w:bookmarkStart w:id="167" w:name="_Toc533519412"/>
      <w:r>
        <w:rPr>
          <w:rFonts w:hint="eastAsia" w:ascii="仿宋_GB2312" w:eastAsia="仿宋_GB2312" w:hAnsiTheme="minorEastAsia"/>
          <w:sz w:val="28"/>
          <w:szCs w:val="28"/>
        </w:rPr>
        <w:t>2</w:t>
      </w:r>
      <w:r>
        <w:rPr>
          <w:rFonts w:ascii="仿宋_GB2312" w:eastAsia="仿宋_GB2312" w:hAnsiTheme="minorEastAsia"/>
          <w:sz w:val="28"/>
          <w:szCs w:val="28"/>
        </w:rPr>
        <w:t>.6</w:t>
      </w:r>
      <w:r>
        <w:rPr>
          <w:rFonts w:hint="eastAsia" w:ascii="仿宋_GB2312" w:eastAsia="仿宋_GB2312" w:hAnsiTheme="minorEastAsia"/>
          <w:sz w:val="28"/>
          <w:szCs w:val="28"/>
        </w:rPr>
        <w:t>教学资源</w:t>
      </w:r>
      <w:bookmarkEnd w:id="164"/>
      <w:bookmarkEnd w:id="165"/>
      <w:bookmarkEnd w:id="166"/>
      <w:bookmarkEnd w:id="167"/>
      <w:r>
        <w:rPr>
          <w:rFonts w:hint="eastAsia" w:ascii="仿宋_GB2312" w:eastAsia="仿宋_GB2312" w:hAnsiTheme="minorEastAsia"/>
          <w:sz w:val="28"/>
          <w:szCs w:val="28"/>
        </w:rPr>
        <w:t xml:space="preserve"> </w:t>
      </w:r>
      <w:r>
        <w:rPr>
          <w:rFonts w:ascii="仿宋_GB2312" w:eastAsia="仿宋_GB2312" w:hAnsiTheme="minorEastAsia"/>
          <w:sz w:val="28"/>
          <w:szCs w:val="28"/>
        </w:rPr>
        <w:t xml:space="preserve">   </w:t>
      </w:r>
    </w:p>
    <w:p>
      <w:pPr>
        <w:adjustRightInd w:val="0"/>
        <w:snapToGrid w:val="0"/>
        <w:spacing w:line="360" w:lineRule="auto"/>
        <w:ind w:firstLine="560" w:firstLineChars="200"/>
        <w:rPr>
          <w:rFonts w:ascii="仿宋" w:hAnsi="仿宋" w:eastAsia="仿宋"/>
          <w:sz w:val="28"/>
          <w:szCs w:val="28"/>
        </w:rPr>
      </w:pPr>
      <w:r>
        <w:rPr>
          <w:rFonts w:ascii="仿宋" w:hAnsi="仿宋" w:eastAsia="仿宋"/>
          <w:sz w:val="28"/>
          <w:szCs w:val="28"/>
        </w:rPr>
        <w:t>该校现有基本教学资源能够满足当前教学需要</w:t>
      </w:r>
      <w:r>
        <w:rPr>
          <w:rFonts w:hint="eastAsia" w:ascii="仿宋" w:hAnsi="仿宋" w:eastAsia="仿宋"/>
          <w:sz w:val="28"/>
          <w:szCs w:val="28"/>
        </w:rPr>
        <w:t>。互联网出口带宽</w:t>
      </w:r>
      <w:r>
        <w:rPr>
          <w:rFonts w:ascii="仿宋" w:hAnsi="仿宋" w:eastAsia="仿宋"/>
          <w:sz w:val="28"/>
          <w:szCs w:val="28"/>
        </w:rPr>
        <w:t>1300</w:t>
      </w:r>
      <w:r>
        <w:t xml:space="preserve"> </w:t>
      </w:r>
      <w:bookmarkStart w:id="168" w:name="_Hlk121902347"/>
      <w:r>
        <w:rPr>
          <w:rFonts w:ascii="仿宋" w:hAnsi="仿宋" w:eastAsia="仿宋"/>
          <w:sz w:val="28"/>
          <w:szCs w:val="28"/>
        </w:rPr>
        <w:t>Mbps</w:t>
      </w:r>
      <w:bookmarkEnd w:id="168"/>
      <w:r>
        <w:rPr>
          <w:rFonts w:hint="eastAsia" w:ascii="仿宋" w:hAnsi="仿宋" w:eastAsia="仿宋"/>
          <w:sz w:val="28"/>
          <w:szCs w:val="28"/>
        </w:rPr>
        <w:t>；校园网主干最大带宽</w:t>
      </w:r>
      <w:r>
        <w:rPr>
          <w:rFonts w:ascii="仿宋" w:hAnsi="仿宋" w:eastAsia="仿宋"/>
          <w:sz w:val="28"/>
          <w:szCs w:val="28"/>
        </w:rPr>
        <w:t>10000</w:t>
      </w:r>
      <w:r>
        <w:t xml:space="preserve"> </w:t>
      </w:r>
      <w:r>
        <w:rPr>
          <w:rFonts w:ascii="仿宋" w:hAnsi="仿宋" w:eastAsia="仿宋"/>
          <w:sz w:val="28"/>
          <w:szCs w:val="28"/>
        </w:rPr>
        <w:t>Mbps</w:t>
      </w:r>
      <w:r>
        <w:rPr>
          <w:rFonts w:hint="eastAsia" w:ascii="仿宋" w:hAnsi="仿宋" w:eastAsia="仿宋"/>
          <w:sz w:val="28"/>
          <w:szCs w:val="28"/>
        </w:rPr>
        <w:t>。固定资产总值</w:t>
      </w:r>
      <w:r>
        <w:rPr>
          <w:rFonts w:ascii="仿宋" w:hAnsi="仿宋" w:eastAsia="仿宋"/>
          <w:sz w:val="28"/>
          <w:szCs w:val="28"/>
        </w:rPr>
        <w:t>52231.53</w:t>
      </w:r>
      <w:r>
        <w:rPr>
          <w:rFonts w:hint="eastAsia" w:ascii="仿宋" w:hAnsi="仿宋" w:eastAsia="仿宋"/>
          <w:sz w:val="28"/>
          <w:szCs w:val="28"/>
        </w:rPr>
        <w:t>万元；教学用计算机（终端）1</w:t>
      </w:r>
      <w:r>
        <w:rPr>
          <w:rFonts w:ascii="仿宋" w:hAnsi="仿宋" w:eastAsia="仿宋"/>
          <w:sz w:val="28"/>
          <w:szCs w:val="28"/>
        </w:rPr>
        <w:t>677</w:t>
      </w:r>
      <w:r>
        <w:rPr>
          <w:rFonts w:hint="eastAsia" w:ascii="仿宋" w:hAnsi="仿宋" w:eastAsia="仿宋"/>
          <w:sz w:val="28"/>
          <w:szCs w:val="28"/>
        </w:rPr>
        <w:t>台。教学科研及辅助用房面积</w:t>
      </w:r>
      <w:r>
        <w:rPr>
          <w:rFonts w:ascii="仿宋" w:hAnsi="仿宋" w:eastAsia="仿宋"/>
          <w:sz w:val="28"/>
          <w:szCs w:val="28"/>
        </w:rPr>
        <w:t>34</w:t>
      </w:r>
      <w:bookmarkStart w:id="169" w:name="_Hlk121901116"/>
      <w:r>
        <w:rPr>
          <w:rFonts w:hint="eastAsia" w:ascii="仿宋" w:hAnsi="仿宋" w:eastAsia="仿宋"/>
          <w:sz w:val="28"/>
          <w:szCs w:val="28"/>
        </w:rPr>
        <w:t>.</w:t>
      </w:r>
      <w:bookmarkEnd w:id="169"/>
      <w:r>
        <w:rPr>
          <w:rFonts w:ascii="仿宋" w:hAnsi="仿宋" w:eastAsia="仿宋"/>
          <w:sz w:val="28"/>
          <w:szCs w:val="28"/>
        </w:rPr>
        <w:t>79</w:t>
      </w:r>
      <w:r>
        <w:rPr>
          <w:rFonts w:hint="eastAsia" w:ascii="仿宋" w:hAnsi="仿宋" w:eastAsia="仿宋"/>
          <w:sz w:val="28"/>
          <w:szCs w:val="28"/>
        </w:rPr>
        <w:t>万平方米；生均教学行政用房5</w:t>
      </w:r>
      <w:r>
        <w:rPr>
          <w:rFonts w:ascii="仿宋" w:hAnsi="仿宋" w:eastAsia="仿宋"/>
          <w:sz w:val="28"/>
          <w:szCs w:val="28"/>
        </w:rPr>
        <w:t>1.37</w:t>
      </w:r>
      <w:r>
        <w:rPr>
          <w:rFonts w:hint="eastAsia" w:ascii="仿宋" w:hAnsi="仿宋" w:eastAsia="仿宋"/>
          <w:sz w:val="28"/>
          <w:szCs w:val="28"/>
        </w:rPr>
        <w:t>平方米/生。科研仪器设备资产总值</w:t>
      </w:r>
      <w:r>
        <w:rPr>
          <w:rFonts w:ascii="仿宋" w:hAnsi="仿宋" w:eastAsia="仿宋"/>
          <w:sz w:val="28"/>
          <w:szCs w:val="28"/>
        </w:rPr>
        <w:t>5362.79</w:t>
      </w:r>
      <w:r>
        <w:rPr>
          <w:rFonts w:hint="eastAsia" w:ascii="仿宋" w:hAnsi="仿宋" w:eastAsia="仿宋"/>
          <w:sz w:val="28"/>
          <w:szCs w:val="28"/>
        </w:rPr>
        <w:t>万元，新增</w:t>
      </w:r>
      <w:r>
        <w:rPr>
          <w:rFonts w:ascii="仿宋" w:hAnsi="仿宋" w:eastAsia="仿宋"/>
          <w:sz w:val="28"/>
          <w:szCs w:val="28"/>
        </w:rPr>
        <w:t>891</w:t>
      </w:r>
      <w:r>
        <w:rPr>
          <w:rFonts w:hint="eastAsia" w:ascii="仿宋" w:hAnsi="仿宋" w:eastAsia="仿宋"/>
          <w:sz w:val="28"/>
          <w:szCs w:val="28"/>
        </w:rPr>
        <w:t>.</w:t>
      </w:r>
      <w:r>
        <w:rPr>
          <w:rFonts w:ascii="仿宋" w:hAnsi="仿宋" w:eastAsia="仿宋"/>
          <w:sz w:val="28"/>
          <w:szCs w:val="28"/>
        </w:rPr>
        <w:t>37</w:t>
      </w:r>
      <w:r>
        <w:rPr>
          <w:rFonts w:hint="eastAsia" w:ascii="仿宋" w:hAnsi="仿宋" w:eastAsia="仿宋"/>
          <w:sz w:val="28"/>
          <w:szCs w:val="28"/>
        </w:rPr>
        <w:t>万元，增长率达</w:t>
      </w:r>
      <w:r>
        <w:rPr>
          <w:rFonts w:ascii="仿宋" w:hAnsi="仿宋" w:eastAsia="仿宋"/>
          <w:sz w:val="28"/>
          <w:szCs w:val="28"/>
        </w:rPr>
        <w:t>19</w:t>
      </w:r>
      <w:r>
        <w:rPr>
          <w:rFonts w:hint="eastAsia" w:ascii="仿宋" w:hAnsi="仿宋" w:eastAsia="仿宋"/>
          <w:sz w:val="28"/>
          <w:szCs w:val="28"/>
        </w:rPr>
        <w:t>.</w:t>
      </w:r>
      <w:r>
        <w:rPr>
          <w:rFonts w:ascii="仿宋" w:hAnsi="仿宋" w:eastAsia="仿宋"/>
          <w:sz w:val="28"/>
          <w:szCs w:val="28"/>
        </w:rPr>
        <w:t>9</w:t>
      </w:r>
      <w:r>
        <w:rPr>
          <w:rFonts w:hint="eastAsia" w:ascii="仿宋" w:hAnsi="仿宋" w:eastAsia="仿宋"/>
          <w:sz w:val="28"/>
          <w:szCs w:val="28"/>
        </w:rPr>
        <w:t>3%；生均教学科研仪器设备值7</w:t>
      </w:r>
      <w:r>
        <w:rPr>
          <w:rFonts w:ascii="仿宋" w:hAnsi="仿宋" w:eastAsia="仿宋"/>
          <w:sz w:val="28"/>
          <w:szCs w:val="28"/>
        </w:rPr>
        <w:t>570.29</w:t>
      </w:r>
      <w:r>
        <w:rPr>
          <w:rFonts w:hint="eastAsia" w:ascii="仿宋" w:hAnsi="仿宋" w:eastAsia="仿宋"/>
          <w:sz w:val="28"/>
          <w:szCs w:val="28"/>
        </w:rPr>
        <w:t>元/生。纸质图书资源量4</w:t>
      </w:r>
      <w:r>
        <w:rPr>
          <w:rFonts w:ascii="仿宋" w:hAnsi="仿宋" w:eastAsia="仿宋"/>
          <w:sz w:val="28"/>
          <w:szCs w:val="28"/>
        </w:rPr>
        <w:t>8</w:t>
      </w:r>
      <w:r>
        <w:rPr>
          <w:rFonts w:hint="eastAsia" w:ascii="仿宋" w:hAnsi="仿宋" w:eastAsia="仿宋"/>
          <w:sz w:val="28"/>
          <w:szCs w:val="28"/>
        </w:rPr>
        <w:t>.</w:t>
      </w:r>
      <w:r>
        <w:rPr>
          <w:rFonts w:ascii="仿宋" w:hAnsi="仿宋" w:eastAsia="仿宋"/>
          <w:sz w:val="28"/>
          <w:szCs w:val="28"/>
        </w:rPr>
        <w:t>15</w:t>
      </w:r>
      <w:r>
        <w:rPr>
          <w:rFonts w:hint="eastAsia" w:ascii="仿宋" w:hAnsi="仿宋" w:eastAsia="仿宋"/>
          <w:sz w:val="28"/>
          <w:szCs w:val="28"/>
        </w:rPr>
        <w:t>万册；生均图书9</w:t>
      </w:r>
      <w:r>
        <w:rPr>
          <w:rFonts w:ascii="仿宋" w:hAnsi="仿宋" w:eastAsia="仿宋"/>
          <w:sz w:val="28"/>
          <w:szCs w:val="28"/>
        </w:rPr>
        <w:t>9.69</w:t>
      </w:r>
      <w:r>
        <w:rPr>
          <w:rFonts w:hint="eastAsia" w:ascii="仿宋" w:hAnsi="仿宋" w:eastAsia="仿宋"/>
          <w:sz w:val="28"/>
          <w:szCs w:val="28"/>
        </w:rPr>
        <w:t>册/生（见表2.3）。此</w:t>
      </w:r>
      <w:r>
        <w:rPr>
          <w:rFonts w:ascii="仿宋" w:hAnsi="仿宋" w:eastAsia="仿宋"/>
          <w:sz w:val="28"/>
          <w:szCs w:val="28"/>
        </w:rPr>
        <w:t>外</w:t>
      </w:r>
      <w:r>
        <w:rPr>
          <w:rFonts w:hint="eastAsia" w:ascii="仿宋" w:hAnsi="仿宋" w:eastAsia="仿宋"/>
          <w:sz w:val="28"/>
          <w:szCs w:val="28"/>
        </w:rPr>
        <w:t>，该校图书馆接受了大量图书捐赠，2</w:t>
      </w:r>
      <w:r>
        <w:rPr>
          <w:rFonts w:ascii="仿宋" w:hAnsi="仿宋" w:eastAsia="仿宋"/>
          <w:sz w:val="28"/>
          <w:szCs w:val="28"/>
        </w:rPr>
        <w:t>022</w:t>
      </w:r>
      <w:r>
        <w:rPr>
          <w:rFonts w:hint="eastAsia" w:ascii="仿宋" w:hAnsi="仿宋" w:eastAsia="仿宋"/>
          <w:sz w:val="28"/>
          <w:szCs w:val="28"/>
        </w:rPr>
        <w:t>年已接收图书捐赠近1.2万册，价值51万元。其中，古吴轩出版社捐赠1678册，价值13.07万元；廖军、许星教授夫妇捐赠1133册，价值7.3万元，苏州工艺美院300册，价值1.2万元，明.美术馆画册300本，价值2.4万元，徐子良副校长捐赠1</w:t>
      </w:r>
      <w:r>
        <w:rPr>
          <w:rFonts w:ascii="仿宋" w:hAnsi="仿宋" w:eastAsia="仿宋"/>
          <w:sz w:val="28"/>
          <w:szCs w:val="28"/>
        </w:rPr>
        <w:t>67</w:t>
      </w:r>
      <w:r>
        <w:rPr>
          <w:rFonts w:hint="eastAsia" w:ascii="仿宋" w:hAnsi="仿宋" w:eastAsia="仿宋"/>
          <w:sz w:val="28"/>
          <w:szCs w:val="28"/>
        </w:rPr>
        <w:t>册，价值4</w:t>
      </w:r>
      <w:r>
        <w:rPr>
          <w:rFonts w:ascii="仿宋" w:hAnsi="仿宋" w:eastAsia="仿宋"/>
          <w:sz w:val="28"/>
          <w:szCs w:val="28"/>
        </w:rPr>
        <w:t>200</w:t>
      </w:r>
      <w:r>
        <w:rPr>
          <w:rFonts w:hint="eastAsia" w:ascii="仿宋" w:hAnsi="仿宋" w:eastAsia="仿宋"/>
          <w:sz w:val="28"/>
          <w:szCs w:val="28"/>
        </w:rPr>
        <w:t>元；学生捐赠8200册，价值27.12万元。近几年已累计近4万册，价值达120余万元。此外</w:t>
      </w:r>
      <w:r>
        <w:rPr>
          <w:rFonts w:ascii="仿宋" w:hAnsi="仿宋" w:eastAsia="仿宋"/>
          <w:sz w:val="28"/>
          <w:szCs w:val="28"/>
        </w:rPr>
        <w:t>该校特聘教授廖军向学校捐赠百余幅书画佳品</w:t>
      </w:r>
      <w:r>
        <w:rPr>
          <w:rFonts w:hint="eastAsia" w:ascii="仿宋" w:hAnsi="仿宋" w:eastAsia="仿宋"/>
          <w:sz w:val="28"/>
          <w:szCs w:val="28"/>
        </w:rPr>
        <w:t>，</w:t>
      </w:r>
      <w:r>
        <w:rPr>
          <w:rFonts w:ascii="仿宋" w:hAnsi="仿宋" w:eastAsia="仿宋"/>
          <w:sz w:val="28"/>
          <w:szCs w:val="28"/>
        </w:rPr>
        <w:t>以此表达对高博学院师生的热爱与祝福，对该校抗疫工作的关心与鼓舞。</w:t>
      </w:r>
      <w:r>
        <w:rPr>
          <w:rFonts w:hint="eastAsia" w:ascii="仿宋" w:hAnsi="仿宋" w:eastAsia="仿宋"/>
          <w:sz w:val="28"/>
          <w:szCs w:val="28"/>
        </w:rPr>
        <w:t xml:space="preserve"> </w:t>
      </w:r>
      <w:r>
        <w:rPr>
          <w:rFonts w:ascii="仿宋" w:hAnsi="仿宋" w:eastAsia="仿宋"/>
          <w:sz w:val="28"/>
          <w:szCs w:val="28"/>
        </w:rPr>
        <w:t xml:space="preserve">    </w:t>
      </w:r>
    </w:p>
    <w:p>
      <w:pPr>
        <w:adjustRightInd w:val="0"/>
        <w:snapToGrid w:val="0"/>
        <w:spacing w:line="360" w:lineRule="auto"/>
        <w:jc w:val="center"/>
        <w:rPr>
          <w:rFonts w:ascii="仿宋_GB2312" w:eastAsia="仿宋_GB2312" w:hAnsiTheme="minorEastAsia"/>
          <w:b/>
          <w:sz w:val="24"/>
          <w:szCs w:val="24"/>
        </w:rPr>
      </w:pPr>
      <w:bookmarkStart w:id="170" w:name="_Toc124170644"/>
      <w:bookmarkStart w:id="171" w:name="_Hlk121992918"/>
      <w:r>
        <w:rPr>
          <w:rFonts w:hint="eastAsia" w:ascii="仿宋_GB2312" w:eastAsia="仿宋_GB2312" w:hAnsiTheme="minorEastAsia"/>
          <w:b/>
          <w:sz w:val="24"/>
          <w:szCs w:val="24"/>
        </w:rPr>
        <w:t xml:space="preserve">表2. </w:t>
      </w:r>
      <w:r>
        <w:rPr>
          <w:rFonts w:ascii="仿宋_GB2312" w:eastAsia="仿宋_GB2312" w:hAnsiTheme="minorEastAsia"/>
          <w:b/>
          <w:sz w:val="24"/>
          <w:szCs w:val="24"/>
        </w:rPr>
        <w:fldChar w:fldCharType="begin"/>
      </w:r>
      <w:r>
        <w:rPr>
          <w:rFonts w:ascii="仿宋_GB2312" w:eastAsia="仿宋_GB2312" w:hAnsiTheme="minorEastAsia"/>
          <w:b/>
          <w:sz w:val="24"/>
          <w:szCs w:val="24"/>
        </w:rPr>
        <w:instrText xml:space="preserve"> </w:instrText>
      </w:r>
      <w:r>
        <w:rPr>
          <w:rFonts w:hint="eastAsia" w:ascii="仿宋_GB2312" w:eastAsia="仿宋_GB2312" w:hAnsiTheme="minorEastAsia"/>
          <w:b/>
          <w:sz w:val="24"/>
          <w:szCs w:val="24"/>
        </w:rPr>
        <w:instrText xml:space="preserve">SEQ 表2. \* ARABIC</w:instrText>
      </w:r>
      <w:r>
        <w:rPr>
          <w:rFonts w:ascii="仿宋_GB2312" w:eastAsia="仿宋_GB2312" w:hAnsiTheme="minorEastAsia"/>
          <w:b/>
          <w:sz w:val="24"/>
          <w:szCs w:val="24"/>
        </w:rPr>
        <w:instrText xml:space="preserve"> </w:instrText>
      </w:r>
      <w:r>
        <w:rPr>
          <w:rFonts w:ascii="仿宋_GB2312" w:eastAsia="仿宋_GB2312" w:hAnsiTheme="minorEastAsia"/>
          <w:b/>
          <w:sz w:val="24"/>
          <w:szCs w:val="24"/>
        </w:rPr>
        <w:fldChar w:fldCharType="separate"/>
      </w:r>
      <w:r>
        <w:rPr>
          <w:rFonts w:ascii="仿宋_GB2312" w:eastAsia="仿宋_GB2312" w:hAnsiTheme="minorEastAsia"/>
          <w:b/>
          <w:sz w:val="24"/>
          <w:szCs w:val="24"/>
        </w:rPr>
        <w:t>3</w:t>
      </w:r>
      <w:r>
        <w:rPr>
          <w:rFonts w:ascii="仿宋_GB2312" w:eastAsia="仿宋_GB2312" w:hAnsiTheme="minorEastAsia"/>
          <w:b/>
          <w:sz w:val="24"/>
          <w:szCs w:val="24"/>
        </w:rPr>
        <w:fldChar w:fldCharType="end"/>
      </w:r>
      <w:r>
        <w:rPr>
          <w:rFonts w:ascii="仿宋_GB2312" w:eastAsia="仿宋_GB2312" w:hAnsiTheme="minorEastAsia"/>
          <w:b/>
          <w:sz w:val="24"/>
          <w:szCs w:val="24"/>
        </w:rPr>
        <w:t xml:space="preserve"> </w:t>
      </w:r>
      <w:r>
        <w:rPr>
          <w:rFonts w:hint="eastAsia" w:ascii="仿宋_GB2312" w:eastAsia="仿宋_GB2312" w:hAnsiTheme="minorEastAsia"/>
          <w:b/>
          <w:sz w:val="24"/>
          <w:szCs w:val="24"/>
        </w:rPr>
        <w:t>教学资源表</w:t>
      </w:r>
      <w:bookmarkEnd w:id="170"/>
    </w:p>
    <w:bookmarkEnd w:id="171"/>
    <w:tbl>
      <w:tblPr>
        <w:tblStyle w:val="62"/>
        <w:tblW w:w="0" w:type="auto"/>
        <w:jc w:val="center"/>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Layout w:type="autofit"/>
        <w:tblCellMar>
          <w:top w:w="0" w:type="dxa"/>
          <w:left w:w="108" w:type="dxa"/>
          <w:bottom w:w="0" w:type="dxa"/>
          <w:right w:w="108" w:type="dxa"/>
        </w:tblCellMar>
      </w:tblPr>
      <w:tblGrid>
        <w:gridCol w:w="698"/>
        <w:gridCol w:w="4296"/>
        <w:gridCol w:w="763"/>
        <w:gridCol w:w="1056"/>
        <w:gridCol w:w="1056"/>
      </w:tblGrid>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7" w:hRule="atLeast"/>
          <w:tblHeader/>
          <w:jc w:val="center"/>
        </w:trPr>
        <w:tc>
          <w:tcPr>
            <w:tcW w:w="0" w:type="auto"/>
            <w:tcBorders>
              <w:top w:val="single" w:color="CCE8CF" w:themeColor="background1" w:sz="4" w:space="0"/>
              <w:left w:val="single" w:color="CCE8CF" w:themeColor="background1" w:sz="4" w:space="0"/>
              <w:right w:val="nil"/>
              <w:insideV w:val="nil"/>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序号</w:t>
            </w:r>
          </w:p>
        </w:tc>
        <w:tc>
          <w:tcPr>
            <w:tcW w:w="0" w:type="auto"/>
            <w:tcBorders>
              <w:top w:val="single" w:color="CCE8CF" w:themeColor="background1" w:sz="4" w:space="0"/>
              <w:right w:val="nil"/>
              <w:insideV w:val="nil"/>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指标</w:t>
            </w:r>
          </w:p>
        </w:tc>
        <w:tc>
          <w:tcPr>
            <w:tcW w:w="0" w:type="auto"/>
            <w:tcBorders>
              <w:top w:val="single" w:color="CCE8CF" w:themeColor="background1" w:sz="4" w:space="0"/>
              <w:right w:val="nil"/>
              <w:insideV w:val="nil"/>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单位</w:t>
            </w:r>
          </w:p>
        </w:tc>
        <w:tc>
          <w:tcPr>
            <w:tcW w:w="0" w:type="auto"/>
            <w:tcBorders>
              <w:top w:val="single" w:color="CCE8CF" w:themeColor="background1" w:sz="4" w:space="0"/>
              <w:right w:val="nil"/>
              <w:insideV w:val="nil"/>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2021年</w:t>
            </w:r>
          </w:p>
        </w:tc>
        <w:tc>
          <w:tcPr>
            <w:tcW w:w="0" w:type="auto"/>
            <w:tcBorders>
              <w:top w:val="single" w:color="CCE8CF" w:themeColor="background1" w:sz="4" w:space="0"/>
              <w:right w:val="single" w:color="CCE8CF" w:themeColor="background1" w:sz="4" w:space="0"/>
              <w:insideV w:val="nil"/>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2022年</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bookmarkStart w:id="172" w:name="_Hlk121826556"/>
            <w:r>
              <w:rPr>
                <w:rFonts w:hint="eastAsia" w:ascii="仿宋" w:hAnsi="仿宋" w:eastAsia="仿宋" w:cs="宋体"/>
                <w:b/>
                <w:bCs/>
                <w:color w:val="FFFFFF"/>
                <w:kern w:val="0"/>
                <w:sz w:val="24"/>
                <w:szCs w:val="24"/>
              </w:rPr>
              <w:t>1</w:t>
            </w:r>
          </w:p>
        </w:tc>
        <w:tc>
          <w:tcPr>
            <w:tcW w:w="0" w:type="auto"/>
            <w:shd w:val="clear" w:color="auto" w:fill="BDD6EE" w:themeFill="accent5" w:themeFillTint="66"/>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生师比</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16.56</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 xml:space="preserve">13.88 </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2</w:t>
            </w:r>
          </w:p>
        </w:tc>
        <w:tc>
          <w:tcPr>
            <w:tcW w:w="0" w:type="auto"/>
            <w:shd w:val="clear" w:color="auto" w:fill="DEEAF6" w:themeFill="accent5" w:themeFillTint="33"/>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双师素质专任教师比例</w:t>
            </w:r>
          </w:p>
        </w:tc>
        <w:tc>
          <w:tcPr>
            <w:tcW w:w="0" w:type="auto"/>
            <w:shd w:val="clear" w:color="auto" w:fill="DEEAF6" w:themeFill="accent5" w:themeFillTint="33"/>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88.93</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 xml:space="preserve">53.77 </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3</w:t>
            </w:r>
          </w:p>
        </w:tc>
        <w:tc>
          <w:tcPr>
            <w:tcW w:w="0" w:type="auto"/>
            <w:shd w:val="clear" w:color="auto" w:fill="BDD6EE" w:themeFill="accent5" w:themeFillTint="66"/>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高级专业技术职务专任教师比例</w:t>
            </w:r>
          </w:p>
        </w:tc>
        <w:tc>
          <w:tcPr>
            <w:tcW w:w="0" w:type="auto"/>
            <w:shd w:val="clear" w:color="auto" w:fill="BDD6EE" w:themeFill="accent5" w:themeFillTint="66"/>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32.41</w:t>
            </w:r>
          </w:p>
        </w:tc>
        <w:tc>
          <w:tcPr>
            <w:tcW w:w="0" w:type="auto"/>
            <w:shd w:val="clear" w:color="auto" w:fill="BDD6EE" w:themeFill="accent5" w:themeFillTint="66"/>
          </w:tcPr>
          <w:p>
            <w:pPr>
              <w:widowControl/>
              <w:jc w:val="center"/>
              <w:rPr>
                <w:rFonts w:ascii="Times New Roman" w:hAnsi="Times New Roman" w:eastAsia="等线" w:cs="Times New Roman"/>
                <w:color w:val="000000"/>
                <w:kern w:val="0"/>
                <w:sz w:val="24"/>
                <w:szCs w:val="24"/>
              </w:rPr>
            </w:pPr>
            <w:r>
              <w:rPr>
                <w:rFonts w:ascii="仿宋_GB2312" w:hAnsi="等线" w:eastAsia="仿宋_GB2312" w:cs="宋体"/>
                <w:color w:val="000000"/>
                <w:kern w:val="0"/>
                <w:sz w:val="24"/>
                <w:szCs w:val="24"/>
              </w:rPr>
              <w:t xml:space="preserve">22.80 </w:t>
            </w:r>
          </w:p>
        </w:tc>
      </w:tr>
      <w:bookmarkEnd w:id="172"/>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restart"/>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4</w:t>
            </w:r>
          </w:p>
        </w:tc>
        <w:tc>
          <w:tcPr>
            <w:tcW w:w="0" w:type="auto"/>
            <w:vMerge w:val="restart"/>
            <w:shd w:val="clear" w:color="auto" w:fill="DEEAF6" w:themeFill="accent5" w:themeFillTint="33"/>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教学计划内课程总数</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门</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563</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618</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continue"/>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p>
        </w:tc>
        <w:tc>
          <w:tcPr>
            <w:tcW w:w="0" w:type="auto"/>
            <w:vMerge w:val="continue"/>
            <w:shd w:val="clear" w:color="auto" w:fill="BDD6EE" w:themeFill="accent5" w:themeFillTint="66"/>
          </w:tcPr>
          <w:p>
            <w:pPr>
              <w:widowControl/>
              <w:jc w:val="left"/>
              <w:rPr>
                <w:rFonts w:ascii="仿宋_GB2312" w:hAnsi="等线" w:eastAsia="仿宋_GB2312" w:cs="宋体"/>
                <w:color w:val="000000"/>
                <w:kern w:val="0"/>
                <w:sz w:val="24"/>
                <w:szCs w:val="24"/>
              </w:rPr>
            </w:pP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学时</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70395</w:t>
            </w:r>
          </w:p>
        </w:tc>
        <w:tc>
          <w:tcPr>
            <w:tcW w:w="0" w:type="auto"/>
            <w:shd w:val="clear" w:color="auto" w:fill="BDD6EE" w:themeFill="accent5" w:themeFillTint="66"/>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127697</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continue"/>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p>
        </w:tc>
        <w:tc>
          <w:tcPr>
            <w:tcW w:w="0" w:type="auto"/>
            <w:vMerge w:val="restart"/>
            <w:shd w:val="clear" w:color="auto" w:fill="DEEAF6" w:themeFill="accent5" w:themeFillTint="33"/>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其中：课证融通课程数</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门</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6</w:t>
            </w:r>
            <w:r>
              <w:rPr>
                <w:rFonts w:ascii="仿宋_GB2312" w:hAnsi="等线" w:eastAsia="仿宋_GB2312" w:cs="宋体"/>
                <w:color w:val="000000"/>
                <w:kern w:val="0"/>
                <w:sz w:val="24"/>
                <w:szCs w:val="24"/>
              </w:rPr>
              <w:t>1</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135</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continue"/>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p>
        </w:tc>
        <w:tc>
          <w:tcPr>
            <w:tcW w:w="0" w:type="auto"/>
            <w:vMerge w:val="continue"/>
            <w:shd w:val="clear" w:color="auto" w:fill="BDD6EE" w:themeFill="accent5" w:themeFillTint="66"/>
          </w:tcPr>
          <w:p>
            <w:pPr>
              <w:widowControl/>
              <w:jc w:val="left"/>
              <w:rPr>
                <w:rFonts w:ascii="仿宋_GB2312" w:hAnsi="等线" w:eastAsia="仿宋_GB2312" w:cs="宋体"/>
                <w:color w:val="000000"/>
                <w:kern w:val="0"/>
                <w:sz w:val="24"/>
                <w:szCs w:val="24"/>
              </w:rPr>
            </w:pP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学时</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7638</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28019</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continue"/>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p>
        </w:tc>
        <w:tc>
          <w:tcPr>
            <w:tcW w:w="0" w:type="auto"/>
            <w:vMerge w:val="restart"/>
            <w:shd w:val="clear" w:color="auto" w:fill="DEEAF6" w:themeFill="accent5" w:themeFillTint="33"/>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网络教学课程数</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门</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279</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497</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continue"/>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p>
        </w:tc>
        <w:tc>
          <w:tcPr>
            <w:tcW w:w="0" w:type="auto"/>
            <w:vMerge w:val="continue"/>
            <w:shd w:val="clear" w:color="auto" w:fill="BDD6EE" w:themeFill="accent5" w:themeFillTint="66"/>
          </w:tcPr>
          <w:p>
            <w:pPr>
              <w:widowControl/>
              <w:jc w:val="left"/>
              <w:rPr>
                <w:rFonts w:ascii="仿宋_GB2312" w:hAnsi="等线" w:eastAsia="仿宋_GB2312" w:cs="宋体"/>
                <w:color w:val="000000"/>
                <w:kern w:val="0"/>
                <w:sz w:val="24"/>
                <w:szCs w:val="24"/>
              </w:rPr>
            </w:pP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学时</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35628</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71097</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restart"/>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5</w:t>
            </w:r>
          </w:p>
        </w:tc>
        <w:tc>
          <w:tcPr>
            <w:tcW w:w="0" w:type="auto"/>
            <w:shd w:val="clear" w:color="auto" w:fill="DEEAF6" w:themeFill="accent5" w:themeFillTint="33"/>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教学资源库数</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个</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2</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5</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continue"/>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p>
        </w:tc>
        <w:tc>
          <w:tcPr>
            <w:tcW w:w="0" w:type="auto"/>
            <w:shd w:val="clear" w:color="auto" w:fill="BDD6EE" w:themeFill="accent5" w:themeFillTint="66"/>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其中：国家级数量</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个</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0</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continue"/>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p>
        </w:tc>
        <w:tc>
          <w:tcPr>
            <w:tcW w:w="0" w:type="auto"/>
            <w:shd w:val="clear" w:color="auto" w:fill="DEEAF6" w:themeFill="accent5" w:themeFillTint="33"/>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 xml:space="preserve">         接入</w:t>
            </w:r>
            <w:r>
              <w:rPr>
                <w:rFonts w:hint="eastAsia" w:ascii="宋体" w:hAnsi="宋体" w:eastAsia="宋体" w:cs="宋体"/>
                <w:color w:val="000000"/>
                <w:kern w:val="0"/>
                <w:sz w:val="24"/>
                <w:szCs w:val="24"/>
              </w:rPr>
              <w:t>国</w:t>
            </w:r>
            <w:r>
              <w:rPr>
                <w:rFonts w:hint="eastAsia" w:ascii="仿宋_GB2312" w:hAnsi="等线" w:eastAsia="仿宋_GB2312" w:cs="宋体"/>
                <w:color w:val="000000"/>
                <w:kern w:val="0"/>
                <w:sz w:val="24"/>
                <w:szCs w:val="24"/>
              </w:rPr>
              <w:t>家智慧教育平台</w:t>
            </w:r>
            <w:r>
              <w:rPr>
                <w:rFonts w:hint="eastAsia" w:ascii="宋体" w:hAnsi="宋体" w:eastAsia="宋体" w:cs="宋体"/>
                <w:color w:val="000000"/>
                <w:kern w:val="0"/>
                <w:sz w:val="24"/>
                <w:szCs w:val="24"/>
              </w:rPr>
              <w:t>数</w:t>
            </w:r>
            <w:r>
              <w:rPr>
                <w:rFonts w:hint="eastAsia" w:ascii="仿宋_GB2312" w:hAnsi="等线" w:eastAsia="仿宋_GB2312" w:cs="宋体"/>
                <w:color w:val="000000"/>
                <w:kern w:val="0"/>
                <w:sz w:val="24"/>
                <w:szCs w:val="24"/>
              </w:rPr>
              <w:t>量</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个</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0</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continue"/>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p>
        </w:tc>
        <w:tc>
          <w:tcPr>
            <w:tcW w:w="0" w:type="auto"/>
            <w:shd w:val="clear" w:color="auto" w:fill="BDD6EE" w:themeFill="accent5" w:themeFillTint="66"/>
          </w:tcPr>
          <w:p>
            <w:pPr>
              <w:widowControl/>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 xml:space="preserve">          </w:t>
            </w:r>
            <w:r>
              <w:rPr>
                <w:rFonts w:hint="eastAsia" w:ascii="仿宋_GB2312" w:hAnsi="Times New Roman" w:eastAsia="仿宋_GB2312" w:cs="Times New Roman"/>
                <w:color w:val="000000"/>
                <w:kern w:val="0"/>
                <w:sz w:val="24"/>
                <w:szCs w:val="24"/>
              </w:rPr>
              <w:t>省</w:t>
            </w:r>
            <w:r>
              <w:rPr>
                <w:rFonts w:hint="eastAsia" w:ascii="宋体" w:hAnsi="宋体" w:eastAsia="宋体" w:cs="Times New Roman"/>
                <w:color w:val="000000"/>
                <w:kern w:val="0"/>
                <w:sz w:val="24"/>
                <w:szCs w:val="24"/>
              </w:rPr>
              <w:t>级数</w:t>
            </w:r>
            <w:r>
              <w:rPr>
                <w:rFonts w:hint="eastAsia" w:ascii="仿宋_GB2312" w:hAnsi="Times New Roman" w:eastAsia="仿宋_GB2312" w:cs="Times New Roman"/>
                <w:color w:val="000000"/>
                <w:kern w:val="0"/>
                <w:sz w:val="24"/>
                <w:szCs w:val="24"/>
              </w:rPr>
              <w:t>量</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个</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0</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continue"/>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p>
        </w:tc>
        <w:tc>
          <w:tcPr>
            <w:tcW w:w="0" w:type="auto"/>
            <w:shd w:val="clear" w:color="auto" w:fill="DEEAF6" w:themeFill="accent5" w:themeFillTint="33"/>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 xml:space="preserve">         接入</w:t>
            </w:r>
            <w:r>
              <w:rPr>
                <w:rFonts w:hint="eastAsia" w:ascii="宋体" w:hAnsi="宋体" w:eastAsia="宋体" w:cs="宋体"/>
                <w:color w:val="000000"/>
                <w:kern w:val="0"/>
                <w:sz w:val="24"/>
                <w:szCs w:val="24"/>
              </w:rPr>
              <w:t>国</w:t>
            </w:r>
            <w:r>
              <w:rPr>
                <w:rFonts w:hint="eastAsia" w:ascii="仿宋_GB2312" w:hAnsi="等线" w:eastAsia="仿宋_GB2312" w:cs="宋体"/>
                <w:color w:val="000000"/>
                <w:kern w:val="0"/>
                <w:sz w:val="24"/>
                <w:szCs w:val="24"/>
              </w:rPr>
              <w:t>家智慧教育平台</w:t>
            </w:r>
            <w:r>
              <w:rPr>
                <w:rFonts w:hint="eastAsia" w:ascii="宋体" w:hAnsi="宋体" w:eastAsia="宋体" w:cs="宋体"/>
                <w:color w:val="000000"/>
                <w:kern w:val="0"/>
                <w:sz w:val="24"/>
                <w:szCs w:val="24"/>
              </w:rPr>
              <w:t>数</w:t>
            </w:r>
            <w:r>
              <w:rPr>
                <w:rFonts w:hint="eastAsia" w:ascii="仿宋_GB2312" w:hAnsi="等线" w:eastAsia="仿宋_GB2312" w:cs="宋体"/>
                <w:color w:val="000000"/>
                <w:kern w:val="0"/>
                <w:sz w:val="24"/>
                <w:szCs w:val="24"/>
              </w:rPr>
              <w:t>量</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个</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0</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continue"/>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p>
        </w:tc>
        <w:tc>
          <w:tcPr>
            <w:tcW w:w="0" w:type="auto"/>
            <w:shd w:val="clear" w:color="auto" w:fill="BDD6EE" w:themeFill="accent5" w:themeFillTint="66"/>
          </w:tcPr>
          <w:p>
            <w:pPr>
              <w:widowControl/>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 xml:space="preserve">         </w:t>
            </w:r>
            <w:r>
              <w:rPr>
                <w:rFonts w:hint="eastAsia" w:ascii="仿宋_GB2312" w:hAnsi="Times New Roman" w:eastAsia="仿宋_GB2312" w:cs="Times New Roman"/>
                <w:color w:val="000000"/>
                <w:kern w:val="0"/>
                <w:sz w:val="24"/>
                <w:szCs w:val="24"/>
              </w:rPr>
              <w:t>校</w:t>
            </w:r>
            <w:r>
              <w:rPr>
                <w:rFonts w:hint="eastAsia" w:ascii="宋体" w:hAnsi="宋体" w:eastAsia="宋体" w:cs="Times New Roman"/>
                <w:color w:val="000000"/>
                <w:kern w:val="0"/>
                <w:sz w:val="24"/>
                <w:szCs w:val="24"/>
              </w:rPr>
              <w:t>级数</w:t>
            </w:r>
            <w:r>
              <w:rPr>
                <w:rFonts w:hint="eastAsia" w:ascii="仿宋_GB2312" w:hAnsi="Times New Roman" w:eastAsia="仿宋_GB2312" w:cs="Times New Roman"/>
                <w:color w:val="000000"/>
                <w:kern w:val="0"/>
                <w:sz w:val="24"/>
                <w:szCs w:val="24"/>
              </w:rPr>
              <w:t>量</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个</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2</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5</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continue"/>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p>
        </w:tc>
        <w:tc>
          <w:tcPr>
            <w:tcW w:w="0" w:type="auto"/>
            <w:shd w:val="clear" w:color="auto" w:fill="DEEAF6" w:themeFill="accent5" w:themeFillTint="33"/>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 xml:space="preserve">         接入</w:t>
            </w:r>
            <w:r>
              <w:rPr>
                <w:rFonts w:hint="eastAsia" w:ascii="宋体" w:hAnsi="宋体" w:eastAsia="宋体" w:cs="宋体"/>
                <w:color w:val="000000"/>
                <w:kern w:val="0"/>
                <w:sz w:val="24"/>
                <w:szCs w:val="24"/>
              </w:rPr>
              <w:t>国</w:t>
            </w:r>
            <w:r>
              <w:rPr>
                <w:rFonts w:hint="eastAsia" w:ascii="仿宋_GB2312" w:hAnsi="等线" w:eastAsia="仿宋_GB2312" w:cs="宋体"/>
                <w:color w:val="000000"/>
                <w:kern w:val="0"/>
                <w:sz w:val="24"/>
                <w:szCs w:val="24"/>
              </w:rPr>
              <w:t>家智慧教育平台</w:t>
            </w:r>
            <w:r>
              <w:rPr>
                <w:rFonts w:hint="eastAsia" w:ascii="宋体" w:hAnsi="宋体" w:eastAsia="宋体" w:cs="宋体"/>
                <w:color w:val="000000"/>
                <w:kern w:val="0"/>
                <w:sz w:val="24"/>
                <w:szCs w:val="24"/>
              </w:rPr>
              <w:t>数</w:t>
            </w:r>
            <w:r>
              <w:rPr>
                <w:rFonts w:hint="eastAsia" w:ascii="仿宋_GB2312" w:hAnsi="等线" w:eastAsia="仿宋_GB2312" w:cs="宋体"/>
                <w:color w:val="000000"/>
                <w:kern w:val="0"/>
                <w:sz w:val="24"/>
                <w:szCs w:val="24"/>
              </w:rPr>
              <w:t>量</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个</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0</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restart"/>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6</w:t>
            </w:r>
          </w:p>
        </w:tc>
        <w:tc>
          <w:tcPr>
            <w:tcW w:w="0" w:type="auto"/>
            <w:vMerge w:val="restart"/>
            <w:shd w:val="clear" w:color="auto" w:fill="BDD6EE" w:themeFill="accent5" w:themeFillTint="66"/>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在线精品课程数</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门</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2</w:t>
            </w:r>
            <w:r>
              <w:rPr>
                <w:rFonts w:hint="eastAsia" w:ascii="仿宋_GB2312" w:hAnsi="等线" w:eastAsia="仿宋_GB2312" w:cs="宋体"/>
                <w:color w:val="000000"/>
                <w:kern w:val="0"/>
                <w:sz w:val="24"/>
                <w:szCs w:val="24"/>
              </w:rPr>
              <w:t>0</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21</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continue"/>
            <w:tcBorders>
              <w:left w:val="single" w:color="CCE8CF" w:themeColor="background1" w:sz="4" w:space="0"/>
            </w:tcBorders>
            <w:shd w:val="clear" w:color="auto" w:fill="5B9BD5" w:themeFill="accent5"/>
          </w:tcPr>
          <w:p>
            <w:pPr>
              <w:widowControl/>
              <w:jc w:val="left"/>
              <w:rPr>
                <w:rFonts w:ascii="Times New Roman" w:hAnsi="Times New Roman" w:eastAsia="等线" w:cs="Times New Roman"/>
                <w:b w:val="0"/>
                <w:bCs w:val="0"/>
                <w:color w:val="000000"/>
                <w:kern w:val="0"/>
                <w:sz w:val="24"/>
                <w:szCs w:val="24"/>
              </w:rPr>
            </w:pPr>
          </w:p>
        </w:tc>
        <w:tc>
          <w:tcPr>
            <w:tcW w:w="0" w:type="auto"/>
            <w:vMerge w:val="continue"/>
            <w:shd w:val="clear" w:color="auto" w:fill="DEEAF6" w:themeFill="accent5" w:themeFillTint="33"/>
          </w:tcPr>
          <w:p>
            <w:pPr>
              <w:widowControl/>
              <w:jc w:val="left"/>
              <w:rPr>
                <w:rFonts w:ascii="仿宋_GB2312" w:hAnsi="等线" w:eastAsia="仿宋_GB2312" w:cs="宋体"/>
                <w:color w:val="000000"/>
                <w:kern w:val="0"/>
                <w:sz w:val="24"/>
                <w:szCs w:val="24"/>
              </w:rPr>
            </w:pP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学时</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1</w:t>
            </w:r>
            <w:r>
              <w:rPr>
                <w:rFonts w:ascii="仿宋_GB2312" w:hAnsi="等线" w:eastAsia="仿宋_GB2312" w:cs="宋体"/>
                <w:color w:val="000000"/>
                <w:kern w:val="0"/>
                <w:sz w:val="24"/>
                <w:szCs w:val="24"/>
              </w:rPr>
              <w:t>2119</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12725</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continue"/>
            <w:tcBorders>
              <w:left w:val="single" w:color="CCE8CF" w:themeColor="background1" w:sz="4" w:space="0"/>
            </w:tcBorders>
            <w:shd w:val="clear" w:color="auto" w:fill="5B9BD5" w:themeFill="accent5"/>
          </w:tcPr>
          <w:p>
            <w:pPr>
              <w:widowControl/>
              <w:jc w:val="left"/>
              <w:rPr>
                <w:rFonts w:ascii="Times New Roman" w:hAnsi="Times New Roman" w:eastAsia="等线" w:cs="Times New Roman"/>
                <w:b w:val="0"/>
                <w:bCs w:val="0"/>
                <w:color w:val="000000"/>
                <w:kern w:val="0"/>
                <w:sz w:val="24"/>
                <w:szCs w:val="24"/>
              </w:rPr>
            </w:pPr>
          </w:p>
        </w:tc>
        <w:tc>
          <w:tcPr>
            <w:tcW w:w="0" w:type="auto"/>
            <w:shd w:val="clear" w:color="auto" w:fill="BDD6EE" w:themeFill="accent5" w:themeFillTint="66"/>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在线精品课程课均学生数</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人</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439</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447</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continue"/>
            <w:tcBorders>
              <w:left w:val="single" w:color="CCE8CF" w:themeColor="background1" w:sz="4" w:space="0"/>
            </w:tcBorders>
            <w:shd w:val="clear" w:color="auto" w:fill="5B9BD5" w:themeFill="accent5"/>
          </w:tcPr>
          <w:p>
            <w:pPr>
              <w:widowControl/>
              <w:jc w:val="left"/>
              <w:rPr>
                <w:rFonts w:ascii="Times New Roman" w:hAnsi="Times New Roman" w:eastAsia="等线" w:cs="Times New Roman"/>
                <w:b w:val="0"/>
                <w:bCs w:val="0"/>
                <w:color w:val="000000"/>
                <w:kern w:val="0"/>
                <w:sz w:val="24"/>
                <w:szCs w:val="24"/>
              </w:rPr>
            </w:pPr>
          </w:p>
        </w:tc>
        <w:tc>
          <w:tcPr>
            <w:tcW w:w="0" w:type="auto"/>
            <w:shd w:val="clear" w:color="auto" w:fill="DEEAF6" w:themeFill="accent5" w:themeFillTint="33"/>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其中：国家级数量</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门</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0</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continue"/>
            <w:tcBorders>
              <w:left w:val="single" w:color="CCE8CF" w:themeColor="background1" w:sz="4" w:space="0"/>
            </w:tcBorders>
            <w:shd w:val="clear" w:color="auto" w:fill="5B9BD5" w:themeFill="accent5"/>
          </w:tcPr>
          <w:p>
            <w:pPr>
              <w:widowControl/>
              <w:jc w:val="left"/>
              <w:rPr>
                <w:rFonts w:ascii="Times New Roman" w:hAnsi="Times New Roman" w:eastAsia="等线" w:cs="Times New Roman"/>
                <w:b w:val="0"/>
                <w:bCs w:val="0"/>
                <w:color w:val="000000"/>
                <w:kern w:val="0"/>
                <w:sz w:val="24"/>
                <w:szCs w:val="24"/>
              </w:rPr>
            </w:pPr>
          </w:p>
        </w:tc>
        <w:tc>
          <w:tcPr>
            <w:tcW w:w="0" w:type="auto"/>
            <w:shd w:val="clear" w:color="auto" w:fill="BDD6EE" w:themeFill="accent5" w:themeFillTint="66"/>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 xml:space="preserve">          接入</w:t>
            </w:r>
            <w:r>
              <w:rPr>
                <w:rFonts w:hint="eastAsia" w:ascii="宋体" w:hAnsi="宋体" w:eastAsia="宋体" w:cs="宋体"/>
                <w:color w:val="000000"/>
                <w:kern w:val="0"/>
                <w:sz w:val="24"/>
                <w:szCs w:val="24"/>
              </w:rPr>
              <w:t>国</w:t>
            </w:r>
            <w:r>
              <w:rPr>
                <w:rFonts w:hint="eastAsia" w:ascii="仿宋_GB2312" w:hAnsi="等线" w:eastAsia="仿宋_GB2312" w:cs="宋体"/>
                <w:color w:val="000000"/>
                <w:kern w:val="0"/>
                <w:sz w:val="24"/>
                <w:szCs w:val="24"/>
              </w:rPr>
              <w:t>家智慧教育平台</w:t>
            </w:r>
            <w:r>
              <w:rPr>
                <w:rFonts w:hint="eastAsia" w:ascii="宋体" w:hAnsi="宋体" w:eastAsia="宋体" w:cs="宋体"/>
                <w:color w:val="000000"/>
                <w:kern w:val="0"/>
                <w:sz w:val="24"/>
                <w:szCs w:val="24"/>
              </w:rPr>
              <w:t>数</w:t>
            </w:r>
            <w:r>
              <w:rPr>
                <w:rFonts w:hint="eastAsia" w:ascii="仿宋_GB2312" w:hAnsi="等线" w:eastAsia="仿宋_GB2312" w:cs="宋体"/>
                <w:color w:val="000000"/>
                <w:kern w:val="0"/>
                <w:sz w:val="24"/>
                <w:szCs w:val="24"/>
              </w:rPr>
              <w:t>量</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门</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0</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continue"/>
            <w:tcBorders>
              <w:left w:val="single" w:color="CCE8CF" w:themeColor="background1" w:sz="4" w:space="0"/>
            </w:tcBorders>
            <w:shd w:val="clear" w:color="auto" w:fill="5B9BD5" w:themeFill="accent5"/>
          </w:tcPr>
          <w:p>
            <w:pPr>
              <w:widowControl/>
              <w:jc w:val="left"/>
              <w:rPr>
                <w:rFonts w:ascii="Times New Roman" w:hAnsi="Times New Roman" w:eastAsia="等线" w:cs="Times New Roman"/>
                <w:b w:val="0"/>
                <w:bCs w:val="0"/>
                <w:color w:val="000000"/>
                <w:kern w:val="0"/>
                <w:sz w:val="24"/>
                <w:szCs w:val="24"/>
              </w:rPr>
            </w:pPr>
          </w:p>
        </w:tc>
        <w:tc>
          <w:tcPr>
            <w:tcW w:w="0" w:type="auto"/>
            <w:shd w:val="clear" w:color="auto" w:fill="DEEAF6" w:themeFill="accent5" w:themeFillTint="33"/>
          </w:tcPr>
          <w:p>
            <w:pPr>
              <w:widowControl/>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 xml:space="preserve">           </w:t>
            </w:r>
            <w:r>
              <w:rPr>
                <w:rFonts w:hint="eastAsia" w:ascii="仿宋_GB2312" w:hAnsi="Times New Roman" w:eastAsia="仿宋_GB2312" w:cs="Times New Roman"/>
                <w:color w:val="000000"/>
                <w:kern w:val="0"/>
                <w:sz w:val="24"/>
                <w:szCs w:val="24"/>
              </w:rPr>
              <w:t>省</w:t>
            </w:r>
            <w:r>
              <w:rPr>
                <w:rFonts w:hint="eastAsia" w:ascii="宋体" w:hAnsi="宋体" w:eastAsia="宋体" w:cs="Times New Roman"/>
                <w:color w:val="000000"/>
                <w:kern w:val="0"/>
                <w:sz w:val="24"/>
                <w:szCs w:val="24"/>
              </w:rPr>
              <w:t>级数</w:t>
            </w:r>
            <w:r>
              <w:rPr>
                <w:rFonts w:hint="eastAsia" w:ascii="仿宋_GB2312" w:hAnsi="Times New Roman" w:eastAsia="仿宋_GB2312" w:cs="Times New Roman"/>
                <w:color w:val="000000"/>
                <w:kern w:val="0"/>
                <w:sz w:val="24"/>
                <w:szCs w:val="24"/>
              </w:rPr>
              <w:t>量</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门</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8</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8</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continue"/>
            <w:tcBorders>
              <w:left w:val="single" w:color="CCE8CF" w:themeColor="background1" w:sz="4" w:space="0"/>
            </w:tcBorders>
            <w:shd w:val="clear" w:color="auto" w:fill="5B9BD5" w:themeFill="accent5"/>
          </w:tcPr>
          <w:p>
            <w:pPr>
              <w:widowControl/>
              <w:jc w:val="left"/>
              <w:rPr>
                <w:rFonts w:ascii="Times New Roman" w:hAnsi="Times New Roman" w:eastAsia="等线" w:cs="Times New Roman"/>
                <w:b w:val="0"/>
                <w:bCs w:val="0"/>
                <w:color w:val="000000"/>
                <w:kern w:val="0"/>
                <w:sz w:val="24"/>
                <w:szCs w:val="24"/>
              </w:rPr>
            </w:pPr>
          </w:p>
        </w:tc>
        <w:tc>
          <w:tcPr>
            <w:tcW w:w="0" w:type="auto"/>
            <w:shd w:val="clear" w:color="auto" w:fill="BDD6EE" w:themeFill="accent5" w:themeFillTint="66"/>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 xml:space="preserve">          接入</w:t>
            </w:r>
            <w:r>
              <w:rPr>
                <w:rFonts w:hint="eastAsia" w:ascii="宋体" w:hAnsi="宋体" w:eastAsia="宋体" w:cs="宋体"/>
                <w:color w:val="000000"/>
                <w:kern w:val="0"/>
                <w:sz w:val="24"/>
                <w:szCs w:val="24"/>
              </w:rPr>
              <w:t>国</w:t>
            </w:r>
            <w:r>
              <w:rPr>
                <w:rFonts w:hint="eastAsia" w:ascii="仿宋_GB2312" w:hAnsi="等线" w:eastAsia="仿宋_GB2312" w:cs="宋体"/>
                <w:color w:val="000000"/>
                <w:kern w:val="0"/>
                <w:sz w:val="24"/>
                <w:szCs w:val="24"/>
              </w:rPr>
              <w:t>家智慧教育平台</w:t>
            </w:r>
            <w:r>
              <w:rPr>
                <w:rFonts w:hint="eastAsia" w:ascii="宋体" w:hAnsi="宋体" w:eastAsia="宋体" w:cs="宋体"/>
                <w:color w:val="000000"/>
                <w:kern w:val="0"/>
                <w:sz w:val="24"/>
                <w:szCs w:val="24"/>
              </w:rPr>
              <w:t>数</w:t>
            </w:r>
            <w:r>
              <w:rPr>
                <w:rFonts w:hint="eastAsia" w:ascii="仿宋_GB2312" w:hAnsi="等线" w:eastAsia="仿宋_GB2312" w:cs="宋体"/>
                <w:color w:val="000000"/>
                <w:kern w:val="0"/>
                <w:sz w:val="24"/>
                <w:szCs w:val="24"/>
              </w:rPr>
              <w:t>量</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门</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8</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continue"/>
            <w:tcBorders>
              <w:left w:val="single" w:color="CCE8CF" w:themeColor="background1" w:sz="4" w:space="0"/>
            </w:tcBorders>
            <w:shd w:val="clear" w:color="auto" w:fill="5B9BD5" w:themeFill="accent5"/>
          </w:tcPr>
          <w:p>
            <w:pPr>
              <w:widowControl/>
              <w:jc w:val="left"/>
              <w:rPr>
                <w:rFonts w:ascii="Times New Roman" w:hAnsi="Times New Roman" w:eastAsia="等线" w:cs="Times New Roman"/>
                <w:b w:val="0"/>
                <w:bCs w:val="0"/>
                <w:color w:val="000000"/>
                <w:kern w:val="0"/>
                <w:sz w:val="24"/>
                <w:szCs w:val="24"/>
              </w:rPr>
            </w:pPr>
          </w:p>
        </w:tc>
        <w:tc>
          <w:tcPr>
            <w:tcW w:w="0" w:type="auto"/>
            <w:shd w:val="clear" w:color="auto" w:fill="DEEAF6" w:themeFill="accent5" w:themeFillTint="33"/>
          </w:tcPr>
          <w:p>
            <w:pPr>
              <w:widowControl/>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 xml:space="preserve">           </w:t>
            </w:r>
            <w:r>
              <w:rPr>
                <w:rFonts w:hint="eastAsia" w:ascii="仿宋_GB2312" w:hAnsi="Times New Roman" w:eastAsia="仿宋_GB2312" w:cs="Times New Roman"/>
                <w:color w:val="000000"/>
                <w:kern w:val="0"/>
                <w:sz w:val="24"/>
                <w:szCs w:val="24"/>
              </w:rPr>
              <w:t>校</w:t>
            </w:r>
            <w:r>
              <w:rPr>
                <w:rFonts w:hint="eastAsia" w:ascii="宋体" w:hAnsi="宋体" w:eastAsia="宋体" w:cs="Times New Roman"/>
                <w:color w:val="000000"/>
                <w:kern w:val="0"/>
                <w:sz w:val="24"/>
                <w:szCs w:val="24"/>
              </w:rPr>
              <w:t>级数</w:t>
            </w:r>
            <w:r>
              <w:rPr>
                <w:rFonts w:hint="eastAsia" w:ascii="仿宋_GB2312" w:hAnsi="Times New Roman" w:eastAsia="仿宋_GB2312" w:cs="Times New Roman"/>
                <w:color w:val="000000"/>
                <w:kern w:val="0"/>
                <w:sz w:val="24"/>
                <w:szCs w:val="24"/>
              </w:rPr>
              <w:t>量</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门</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1</w:t>
            </w:r>
            <w:r>
              <w:rPr>
                <w:rFonts w:hint="eastAsia" w:ascii="仿宋_GB2312" w:hAnsi="等线" w:eastAsia="仿宋_GB2312" w:cs="宋体"/>
                <w:color w:val="000000"/>
                <w:kern w:val="0"/>
                <w:sz w:val="24"/>
                <w:szCs w:val="24"/>
              </w:rPr>
              <w:t>2</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13</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continue"/>
            <w:tcBorders>
              <w:left w:val="single" w:color="CCE8CF" w:themeColor="background1" w:sz="4" w:space="0"/>
            </w:tcBorders>
            <w:shd w:val="clear" w:color="auto" w:fill="5B9BD5" w:themeFill="accent5"/>
          </w:tcPr>
          <w:p>
            <w:pPr>
              <w:widowControl/>
              <w:jc w:val="left"/>
              <w:rPr>
                <w:rFonts w:ascii="Times New Roman" w:hAnsi="Times New Roman" w:eastAsia="等线" w:cs="Times New Roman"/>
                <w:b w:val="0"/>
                <w:bCs w:val="0"/>
                <w:color w:val="000000"/>
                <w:kern w:val="0"/>
                <w:sz w:val="24"/>
                <w:szCs w:val="24"/>
              </w:rPr>
            </w:pPr>
          </w:p>
        </w:tc>
        <w:tc>
          <w:tcPr>
            <w:tcW w:w="0" w:type="auto"/>
            <w:shd w:val="clear" w:color="auto" w:fill="BDD6EE" w:themeFill="accent5" w:themeFillTint="66"/>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 xml:space="preserve">          接入</w:t>
            </w:r>
            <w:r>
              <w:rPr>
                <w:rFonts w:hint="eastAsia" w:ascii="宋体" w:hAnsi="宋体" w:eastAsia="宋体" w:cs="宋体"/>
                <w:color w:val="000000"/>
                <w:kern w:val="0"/>
                <w:sz w:val="24"/>
                <w:szCs w:val="24"/>
              </w:rPr>
              <w:t>国</w:t>
            </w:r>
            <w:r>
              <w:rPr>
                <w:rFonts w:hint="eastAsia" w:ascii="仿宋_GB2312" w:hAnsi="等线" w:eastAsia="仿宋_GB2312" w:cs="宋体"/>
                <w:color w:val="000000"/>
                <w:kern w:val="0"/>
                <w:sz w:val="24"/>
                <w:szCs w:val="24"/>
              </w:rPr>
              <w:t>家智慧教育平台</w:t>
            </w:r>
            <w:r>
              <w:rPr>
                <w:rFonts w:hint="eastAsia" w:ascii="宋体" w:hAnsi="宋体" w:eastAsia="宋体" w:cs="宋体"/>
                <w:color w:val="000000"/>
                <w:kern w:val="0"/>
                <w:sz w:val="24"/>
                <w:szCs w:val="24"/>
              </w:rPr>
              <w:t>数</w:t>
            </w:r>
            <w:r>
              <w:rPr>
                <w:rFonts w:hint="eastAsia" w:ascii="仿宋_GB2312" w:hAnsi="等线" w:eastAsia="仿宋_GB2312" w:cs="宋体"/>
                <w:color w:val="000000"/>
                <w:kern w:val="0"/>
                <w:sz w:val="24"/>
                <w:szCs w:val="24"/>
              </w:rPr>
              <w:t>量</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门</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0</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restart"/>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7</w:t>
            </w:r>
          </w:p>
        </w:tc>
        <w:tc>
          <w:tcPr>
            <w:tcW w:w="0" w:type="auto"/>
            <w:shd w:val="clear" w:color="auto" w:fill="DEEAF6" w:themeFill="accent5" w:themeFillTint="33"/>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编写教材数</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本</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4</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13</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continue"/>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p>
        </w:tc>
        <w:tc>
          <w:tcPr>
            <w:tcW w:w="0" w:type="auto"/>
            <w:shd w:val="clear" w:color="auto" w:fill="BDD6EE" w:themeFill="accent5" w:themeFillTint="66"/>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其中：国家规划教材数量</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本</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1</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1</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continue"/>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p>
        </w:tc>
        <w:tc>
          <w:tcPr>
            <w:tcW w:w="0" w:type="auto"/>
            <w:shd w:val="clear" w:color="auto" w:fill="DEEAF6" w:themeFill="accent5" w:themeFillTint="33"/>
          </w:tcPr>
          <w:p>
            <w:pPr>
              <w:widowControl/>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 xml:space="preserve">           </w:t>
            </w:r>
            <w:r>
              <w:rPr>
                <w:rFonts w:hint="eastAsia" w:ascii="仿宋_GB2312" w:hAnsi="Times New Roman" w:eastAsia="仿宋_GB2312" w:cs="Times New Roman"/>
                <w:color w:val="000000"/>
                <w:kern w:val="0"/>
                <w:sz w:val="24"/>
                <w:szCs w:val="24"/>
              </w:rPr>
              <w:t>校企合作</w:t>
            </w:r>
            <w:r>
              <w:rPr>
                <w:rFonts w:hint="eastAsia" w:ascii="宋体" w:hAnsi="宋体" w:eastAsia="宋体" w:cs="Times New Roman"/>
                <w:color w:val="000000"/>
                <w:kern w:val="0"/>
                <w:sz w:val="24"/>
                <w:szCs w:val="24"/>
              </w:rPr>
              <w:t>编写</w:t>
            </w:r>
            <w:r>
              <w:rPr>
                <w:rFonts w:hint="eastAsia" w:ascii="仿宋_GB2312" w:hAnsi="Times New Roman" w:eastAsia="仿宋_GB2312" w:cs="Times New Roman"/>
                <w:color w:val="000000"/>
                <w:kern w:val="0"/>
                <w:sz w:val="24"/>
                <w:szCs w:val="24"/>
              </w:rPr>
              <w:t>教材</w:t>
            </w:r>
            <w:r>
              <w:rPr>
                <w:rFonts w:hint="eastAsia" w:ascii="宋体" w:hAnsi="宋体" w:eastAsia="宋体" w:cs="Times New Roman"/>
                <w:color w:val="000000"/>
                <w:kern w:val="0"/>
                <w:sz w:val="24"/>
                <w:szCs w:val="24"/>
              </w:rPr>
              <w:t>数</w:t>
            </w:r>
            <w:r>
              <w:rPr>
                <w:rFonts w:hint="eastAsia" w:ascii="仿宋_GB2312" w:hAnsi="Times New Roman" w:eastAsia="仿宋_GB2312" w:cs="Times New Roman"/>
                <w:color w:val="000000"/>
                <w:kern w:val="0"/>
                <w:sz w:val="24"/>
                <w:szCs w:val="24"/>
              </w:rPr>
              <w:t>量</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本</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37</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11</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continue"/>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p>
        </w:tc>
        <w:tc>
          <w:tcPr>
            <w:tcW w:w="0" w:type="auto"/>
            <w:shd w:val="clear" w:color="auto" w:fill="BDD6EE" w:themeFill="accent5" w:themeFillTint="66"/>
          </w:tcPr>
          <w:p>
            <w:pPr>
              <w:widowControl/>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 xml:space="preserve">           </w:t>
            </w:r>
            <w:r>
              <w:rPr>
                <w:rFonts w:hint="eastAsia" w:ascii="仿宋_GB2312" w:hAnsi="Times New Roman" w:eastAsia="仿宋_GB2312" w:cs="Times New Roman"/>
                <w:color w:val="000000"/>
                <w:kern w:val="0"/>
                <w:sz w:val="24"/>
                <w:szCs w:val="24"/>
              </w:rPr>
              <w:t>新形</w:t>
            </w:r>
            <w:r>
              <w:rPr>
                <w:rFonts w:hint="eastAsia" w:ascii="宋体" w:hAnsi="宋体" w:eastAsia="宋体" w:cs="Times New Roman"/>
                <w:color w:val="000000"/>
                <w:kern w:val="0"/>
                <w:sz w:val="24"/>
                <w:szCs w:val="24"/>
              </w:rPr>
              <w:t>态</w:t>
            </w:r>
            <w:r>
              <w:rPr>
                <w:rFonts w:hint="eastAsia" w:ascii="仿宋_GB2312" w:hAnsi="Times New Roman" w:eastAsia="仿宋_GB2312" w:cs="Times New Roman"/>
                <w:color w:val="000000"/>
                <w:kern w:val="0"/>
                <w:sz w:val="24"/>
                <w:szCs w:val="24"/>
              </w:rPr>
              <w:t>教材</w:t>
            </w:r>
            <w:r>
              <w:rPr>
                <w:rFonts w:hint="eastAsia" w:ascii="宋体" w:hAnsi="宋体" w:eastAsia="宋体" w:cs="Times New Roman"/>
                <w:color w:val="000000"/>
                <w:kern w:val="0"/>
                <w:sz w:val="24"/>
                <w:szCs w:val="24"/>
              </w:rPr>
              <w:t>数</w:t>
            </w:r>
            <w:r>
              <w:rPr>
                <w:rFonts w:hint="eastAsia" w:ascii="仿宋_GB2312" w:hAnsi="Times New Roman" w:eastAsia="仿宋_GB2312" w:cs="Times New Roman"/>
                <w:color w:val="000000"/>
                <w:kern w:val="0"/>
                <w:sz w:val="24"/>
                <w:szCs w:val="24"/>
              </w:rPr>
              <w:t>量</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本</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0</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2</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continue"/>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p>
        </w:tc>
        <w:tc>
          <w:tcPr>
            <w:tcW w:w="0" w:type="auto"/>
            <w:shd w:val="clear" w:color="auto" w:fill="DEEAF6" w:themeFill="accent5" w:themeFillTint="33"/>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 xml:space="preserve">      接入</w:t>
            </w:r>
            <w:r>
              <w:rPr>
                <w:rFonts w:hint="eastAsia" w:ascii="宋体" w:hAnsi="宋体" w:eastAsia="宋体" w:cs="宋体"/>
                <w:color w:val="000000"/>
                <w:kern w:val="0"/>
                <w:sz w:val="24"/>
                <w:szCs w:val="24"/>
              </w:rPr>
              <w:t>国</w:t>
            </w:r>
            <w:r>
              <w:rPr>
                <w:rFonts w:hint="eastAsia" w:ascii="仿宋_GB2312" w:hAnsi="等线" w:eastAsia="仿宋_GB2312" w:cs="宋体"/>
                <w:color w:val="000000"/>
                <w:kern w:val="0"/>
                <w:sz w:val="24"/>
                <w:szCs w:val="24"/>
              </w:rPr>
              <w:t>家智慧教育平台</w:t>
            </w:r>
            <w:r>
              <w:rPr>
                <w:rFonts w:hint="eastAsia" w:ascii="宋体" w:hAnsi="宋体" w:eastAsia="宋体" w:cs="宋体"/>
                <w:color w:val="000000"/>
                <w:kern w:val="0"/>
                <w:sz w:val="24"/>
                <w:szCs w:val="24"/>
              </w:rPr>
              <w:t>数</w:t>
            </w:r>
            <w:r>
              <w:rPr>
                <w:rFonts w:hint="eastAsia" w:ascii="仿宋_GB2312" w:hAnsi="等线" w:eastAsia="仿宋_GB2312" w:cs="宋体"/>
                <w:color w:val="000000"/>
                <w:kern w:val="0"/>
                <w:sz w:val="24"/>
                <w:szCs w:val="24"/>
              </w:rPr>
              <w:t>量</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本</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0</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8</w:t>
            </w:r>
          </w:p>
        </w:tc>
        <w:tc>
          <w:tcPr>
            <w:tcW w:w="0" w:type="auto"/>
            <w:shd w:val="clear" w:color="auto" w:fill="BDD6EE" w:themeFill="accent5" w:themeFillTint="66"/>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互联网出口带宽</w:t>
            </w:r>
          </w:p>
        </w:tc>
        <w:tc>
          <w:tcPr>
            <w:tcW w:w="0" w:type="auto"/>
            <w:shd w:val="clear" w:color="auto" w:fill="BDD6EE" w:themeFill="accent5" w:themeFillTint="66"/>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Mbps</w:t>
            </w:r>
          </w:p>
        </w:tc>
        <w:tc>
          <w:tcPr>
            <w:tcW w:w="0" w:type="auto"/>
            <w:shd w:val="clear" w:color="auto" w:fill="BDD6EE" w:themeFill="accent5" w:themeFillTint="66"/>
          </w:tcPr>
          <w:p>
            <w:pPr>
              <w:widowControl/>
              <w:jc w:val="center"/>
              <w:rPr>
                <w:rFonts w:ascii="Times New Roman" w:hAnsi="Times New Roman" w:eastAsia="等线" w:cs="Times New Roman"/>
                <w:color w:val="000000"/>
                <w:kern w:val="0"/>
                <w:sz w:val="24"/>
                <w:szCs w:val="24"/>
              </w:rPr>
            </w:pPr>
            <w:r>
              <w:rPr>
                <w:rFonts w:ascii="仿宋_GB2312" w:hAnsi="等线" w:eastAsia="仿宋_GB2312" w:cs="宋体"/>
                <w:color w:val="000000"/>
                <w:kern w:val="0"/>
                <w:sz w:val="24"/>
                <w:szCs w:val="24"/>
              </w:rPr>
              <w:t>1300</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1300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9</w:t>
            </w:r>
          </w:p>
        </w:tc>
        <w:tc>
          <w:tcPr>
            <w:tcW w:w="0" w:type="auto"/>
            <w:shd w:val="clear" w:color="auto" w:fill="DEEAF6" w:themeFill="accent5" w:themeFillTint="33"/>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校园网主干最大带宽</w:t>
            </w:r>
          </w:p>
        </w:tc>
        <w:tc>
          <w:tcPr>
            <w:tcW w:w="0" w:type="auto"/>
            <w:shd w:val="clear" w:color="auto" w:fill="DEEAF6" w:themeFill="accent5" w:themeFillTint="33"/>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Mbps</w:t>
            </w:r>
          </w:p>
        </w:tc>
        <w:tc>
          <w:tcPr>
            <w:tcW w:w="0" w:type="auto"/>
            <w:shd w:val="clear" w:color="auto" w:fill="DEEAF6" w:themeFill="accent5" w:themeFillTint="33"/>
            <w:noWrap/>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10000</w:t>
            </w:r>
          </w:p>
        </w:tc>
        <w:tc>
          <w:tcPr>
            <w:tcW w:w="0" w:type="auto"/>
            <w:shd w:val="clear" w:color="auto" w:fill="DEEAF6" w:themeFill="accent5" w:themeFillTint="33"/>
          </w:tcPr>
          <w:p>
            <w:pPr>
              <w:widowControl/>
              <w:jc w:val="center"/>
              <w:rPr>
                <w:rFonts w:ascii="Times New Roman" w:hAnsi="Times New Roman" w:eastAsia="等线" w:cs="Times New Roman"/>
                <w:color w:val="000000"/>
                <w:kern w:val="0"/>
                <w:sz w:val="24"/>
                <w:szCs w:val="24"/>
              </w:rPr>
            </w:pPr>
            <w:r>
              <w:rPr>
                <w:rFonts w:ascii="仿宋_GB2312" w:hAnsi="等线" w:eastAsia="仿宋_GB2312" w:cs="宋体"/>
                <w:color w:val="000000"/>
                <w:kern w:val="0"/>
                <w:sz w:val="24"/>
                <w:szCs w:val="24"/>
              </w:rPr>
              <w:t>10000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tcBorders>
              <w:left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10</w:t>
            </w:r>
          </w:p>
        </w:tc>
        <w:tc>
          <w:tcPr>
            <w:tcW w:w="0" w:type="auto"/>
            <w:shd w:val="clear" w:color="auto" w:fill="BDD6EE" w:themeFill="accent5" w:themeFillTint="66"/>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生均校内实践教学工位数</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个</w:t>
            </w:r>
            <w:r>
              <w:rPr>
                <w:rFonts w:ascii="Times New Roman" w:hAnsi="Times New Roman" w:eastAsia="仿宋_GB2312" w:cs="Times New Roman"/>
                <w:color w:val="000000"/>
                <w:kern w:val="0"/>
                <w:sz w:val="24"/>
                <w:szCs w:val="24"/>
              </w:rPr>
              <w:t>/</w:t>
            </w:r>
            <w:r>
              <w:rPr>
                <w:rFonts w:hint="eastAsia" w:ascii="仿宋_GB2312" w:hAnsi="等线" w:eastAsia="仿宋_GB2312" w:cs="宋体"/>
                <w:color w:val="000000"/>
                <w:kern w:val="0"/>
                <w:sz w:val="24"/>
                <w:szCs w:val="24"/>
              </w:rPr>
              <w:t>生</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 xml:space="preserve">1.67 </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 xml:space="preserve">0.79 </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tcBorders>
              <w:left w:val="single" w:color="CCE8CF" w:themeColor="background1" w:sz="4" w:space="0"/>
              <w:bottom w:val="single" w:color="CCE8CF" w:themeColor="background1" w:sz="4" w:space="0"/>
            </w:tcBorders>
            <w:shd w:val="clear" w:color="auto" w:fill="5B9BD5" w:themeFill="accent5"/>
            <w:vAlign w:val="center"/>
          </w:tcPr>
          <w:p>
            <w:pPr>
              <w:widowControl/>
              <w:jc w:val="center"/>
              <w:rPr>
                <w:rFonts w:ascii="仿宋" w:hAnsi="仿宋" w:eastAsia="仿宋" w:cs="宋体"/>
                <w:b w:val="0"/>
                <w:bCs w:val="0"/>
                <w:color w:val="FFFFFF"/>
                <w:kern w:val="0"/>
                <w:sz w:val="24"/>
                <w:szCs w:val="24"/>
              </w:rPr>
            </w:pPr>
            <w:r>
              <w:rPr>
                <w:rFonts w:hint="eastAsia" w:ascii="仿宋" w:hAnsi="仿宋" w:eastAsia="仿宋" w:cs="宋体"/>
                <w:b/>
                <w:bCs/>
                <w:color w:val="FFFFFF"/>
                <w:kern w:val="0"/>
                <w:sz w:val="24"/>
                <w:szCs w:val="24"/>
              </w:rPr>
              <w:t>11</w:t>
            </w:r>
          </w:p>
        </w:tc>
        <w:tc>
          <w:tcPr>
            <w:tcW w:w="0" w:type="auto"/>
            <w:shd w:val="clear" w:color="auto" w:fill="DEEAF6" w:themeFill="accent5" w:themeFillTint="33"/>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生均教学科研仪器设备值</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元</w:t>
            </w:r>
            <w:r>
              <w:rPr>
                <w:rFonts w:ascii="Times New Roman" w:hAnsi="Times New Roman" w:eastAsia="仿宋_GB2312" w:cs="Times New Roman"/>
                <w:color w:val="000000"/>
                <w:kern w:val="0"/>
                <w:sz w:val="24"/>
                <w:szCs w:val="24"/>
              </w:rPr>
              <w:t>/</w:t>
            </w:r>
            <w:r>
              <w:rPr>
                <w:rFonts w:hint="eastAsia" w:ascii="仿宋_GB2312" w:hAnsi="等线" w:eastAsia="仿宋_GB2312" w:cs="宋体"/>
                <w:color w:val="000000"/>
                <w:kern w:val="0"/>
                <w:sz w:val="24"/>
                <w:szCs w:val="24"/>
              </w:rPr>
              <w:t>生</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7000.00</w:t>
            </w:r>
            <w:r>
              <w:rPr>
                <w:rFonts w:hint="eastAsia" w:ascii="仿宋_GB2312" w:hAnsi="等线" w:eastAsia="仿宋_GB2312" w:cs="宋体"/>
                <w:color w:val="000000"/>
                <w:kern w:val="0"/>
                <w:sz w:val="24"/>
                <w:szCs w:val="24"/>
              </w:rPr>
              <w:t xml:space="preserve"> </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 xml:space="preserve">7570.29 </w:t>
            </w:r>
          </w:p>
        </w:tc>
      </w:tr>
    </w:tbl>
    <w:p>
      <w:pPr>
        <w:adjustRightInd w:val="0"/>
        <w:snapToGrid w:val="0"/>
        <w:spacing w:line="360" w:lineRule="auto"/>
        <w:ind w:firstLine="560" w:firstLineChars="200"/>
        <w:rPr>
          <w:rFonts w:ascii="仿宋" w:hAnsi="仿宋" w:eastAsia="仿宋"/>
          <w:sz w:val="28"/>
          <w:szCs w:val="28"/>
        </w:rPr>
      </w:pPr>
    </w:p>
    <w:p>
      <w:pPr>
        <w:adjustRightInd w:val="0"/>
        <w:snapToGrid w:val="0"/>
        <w:spacing w:line="360" w:lineRule="auto"/>
        <w:ind w:firstLine="560" w:firstLineChars="200"/>
        <w:rPr>
          <w:rFonts w:ascii="仿宋" w:hAnsi="仿宋" w:eastAsia="仿宋"/>
          <w:sz w:val="28"/>
          <w:szCs w:val="28"/>
        </w:rPr>
      </w:pPr>
      <w:r>
        <w:rPr>
          <w:rFonts w:ascii="仿宋" w:hAnsi="仿宋" w:eastAsia="仿宋"/>
          <w:sz w:val="28"/>
          <w:szCs w:val="28"/>
        </w:rPr>
        <w:t>教学资源拓展挖掘潜力</w:t>
      </w:r>
      <w:r>
        <w:rPr>
          <w:rFonts w:hint="eastAsia" w:ascii="仿宋" w:hAnsi="仿宋" w:eastAsia="仿宋"/>
          <w:sz w:val="28"/>
          <w:szCs w:val="28"/>
        </w:rPr>
        <w:t>。该校</w:t>
      </w:r>
      <w:r>
        <w:rPr>
          <w:rFonts w:ascii="仿宋" w:hAnsi="仿宋" w:eastAsia="仿宋"/>
          <w:sz w:val="28"/>
          <w:szCs w:val="28"/>
        </w:rPr>
        <w:t>不仅有效</w:t>
      </w:r>
      <w:r>
        <w:rPr>
          <w:rFonts w:hint="eastAsia" w:ascii="仿宋" w:hAnsi="仿宋" w:eastAsia="仿宋"/>
          <w:sz w:val="28"/>
          <w:szCs w:val="28"/>
        </w:rPr>
        <w:t>发挥办学各</w:t>
      </w:r>
      <w:r>
        <w:rPr>
          <w:rFonts w:ascii="仿宋" w:hAnsi="仿宋" w:eastAsia="仿宋"/>
          <w:sz w:val="28"/>
          <w:szCs w:val="28"/>
        </w:rPr>
        <w:t>方优势</w:t>
      </w:r>
      <w:r>
        <w:rPr>
          <w:rFonts w:hint="eastAsia" w:ascii="仿宋" w:hAnsi="仿宋" w:eastAsia="仿宋"/>
          <w:sz w:val="28"/>
          <w:szCs w:val="28"/>
        </w:rPr>
        <w:t>，借力借势而为，</w:t>
      </w:r>
      <w:r>
        <w:rPr>
          <w:rFonts w:ascii="仿宋" w:hAnsi="仿宋" w:eastAsia="仿宋"/>
          <w:sz w:val="28"/>
          <w:szCs w:val="28"/>
        </w:rPr>
        <w:t>而且在资源利用及使用上</w:t>
      </w:r>
      <w:r>
        <w:rPr>
          <w:rFonts w:hint="eastAsia" w:ascii="仿宋" w:hAnsi="仿宋" w:eastAsia="仿宋"/>
          <w:sz w:val="28"/>
          <w:szCs w:val="28"/>
        </w:rPr>
        <w:t>，</w:t>
      </w:r>
      <w:r>
        <w:rPr>
          <w:rFonts w:ascii="仿宋" w:hAnsi="仿宋" w:eastAsia="仿宋"/>
          <w:sz w:val="28"/>
          <w:szCs w:val="28"/>
        </w:rPr>
        <w:t>加强管理</w:t>
      </w:r>
      <w:r>
        <w:rPr>
          <w:rFonts w:hint="eastAsia" w:ascii="仿宋" w:hAnsi="仿宋" w:eastAsia="仿宋"/>
          <w:sz w:val="28"/>
          <w:szCs w:val="28"/>
        </w:rPr>
        <w:t>，</w:t>
      </w:r>
      <w:r>
        <w:rPr>
          <w:rFonts w:ascii="仿宋" w:hAnsi="仿宋" w:eastAsia="仿宋"/>
          <w:sz w:val="28"/>
          <w:szCs w:val="28"/>
        </w:rPr>
        <w:t>提高利用率</w:t>
      </w:r>
      <w:r>
        <w:rPr>
          <w:rFonts w:hint="eastAsia" w:ascii="仿宋" w:hAnsi="仿宋" w:eastAsia="仿宋"/>
          <w:sz w:val="28"/>
          <w:szCs w:val="28"/>
        </w:rPr>
        <w:t>。 同吴中集团“第一公园”合作召开人才对接会。同吴中高科、第一工园·旺山企业总部港、苏州教育投资有限公司等园内多家企业老总及明星企业代表密切接触沟通，互通人才需求。同江苏吴中集团康养事业部校企合作签约、揭牌，开展深度合作。各二级学院同学校资产处、后勤管理处保持良好信息互动与共享，做好资源调配，最大化节约并合理使用。</w:t>
      </w:r>
    </w:p>
    <w:p>
      <w:pPr>
        <w:adjustRightInd w:val="0"/>
        <w:snapToGrid w:val="0"/>
        <w:spacing w:line="360" w:lineRule="auto"/>
        <w:ind w:firstLine="560" w:firstLineChars="200"/>
        <w:rPr>
          <w:rFonts w:ascii="仿宋" w:hAnsi="仿宋" w:eastAsia="仿宋"/>
          <w:sz w:val="28"/>
          <w:szCs w:val="28"/>
        </w:rPr>
      </w:pPr>
      <w:r>
        <w:rPr>
          <w:rFonts w:ascii="仿宋" w:hAnsi="仿宋" w:eastAsia="仿宋"/>
          <w:sz w:val="28"/>
          <w:szCs w:val="28"/>
        </w:rPr>
        <w:t>校内外实训基地建设</w:t>
      </w:r>
      <w:r>
        <w:rPr>
          <w:rFonts w:hint="eastAsia" w:ascii="仿宋" w:hAnsi="仿宋" w:eastAsia="仿宋"/>
          <w:sz w:val="28"/>
          <w:szCs w:val="28"/>
        </w:rPr>
        <w:t>情况良好。校内实训基地在现有的省重点建设实训基地“江苏省移动互联网实训基地”，省产教深度融合实训平台“江苏移动互联技术产教深度融合实训平台”基础上，建设了苏州市无人机技术重点实验室、江苏高校人文社会科学校外研究基地培育点、苏南非遗文化传承与创新研究基地、苏州高新区传统工艺传承与保护技能大师工作室；立项高新区跨境电商资金补助项目建设实训中心，建设电子商务实训中心，新建高速铁路客运服务实训基地、高博学院品牌直播间、机电学院机房、舞蹈表演专业实训中心、若干艺术学院工作室和酒店管理与建筑设计综合实训基地等。目前校内共建</w:t>
      </w:r>
      <w:r>
        <w:rPr>
          <w:rFonts w:ascii="仿宋" w:hAnsi="仿宋" w:eastAsia="仿宋"/>
          <w:sz w:val="28"/>
          <w:szCs w:val="28"/>
        </w:rPr>
        <w:t>实验实训室</w:t>
      </w:r>
      <w:r>
        <w:rPr>
          <w:rFonts w:hint="eastAsia" w:ascii="仿宋" w:hAnsi="仿宋" w:eastAsia="仿宋"/>
          <w:sz w:val="28"/>
          <w:szCs w:val="28"/>
        </w:rPr>
        <w:t>（含训练中心或基地）已达</w:t>
      </w:r>
      <w:r>
        <w:rPr>
          <w:rFonts w:ascii="仿宋" w:hAnsi="仿宋" w:eastAsia="仿宋"/>
          <w:sz w:val="28"/>
          <w:szCs w:val="28"/>
        </w:rPr>
        <w:t>101</w:t>
      </w:r>
      <w:r>
        <w:rPr>
          <w:rFonts w:hint="eastAsia" w:ascii="仿宋" w:hAnsi="仿宋" w:eastAsia="仿宋"/>
          <w:sz w:val="28"/>
          <w:szCs w:val="28"/>
        </w:rPr>
        <w:t>个，特别是从2</w:t>
      </w:r>
      <w:r>
        <w:rPr>
          <w:rFonts w:ascii="仿宋" w:hAnsi="仿宋" w:eastAsia="仿宋"/>
          <w:sz w:val="28"/>
          <w:szCs w:val="28"/>
        </w:rPr>
        <w:t>020</w:t>
      </w:r>
      <w:r>
        <w:rPr>
          <w:rFonts w:hint="eastAsia" w:ascii="仿宋" w:hAnsi="仿宋" w:eastAsia="仿宋"/>
          <w:sz w:val="28"/>
          <w:szCs w:val="28"/>
        </w:rPr>
        <w:t>年到2</w:t>
      </w:r>
      <w:r>
        <w:rPr>
          <w:rFonts w:ascii="仿宋" w:hAnsi="仿宋" w:eastAsia="仿宋"/>
          <w:sz w:val="28"/>
          <w:szCs w:val="28"/>
        </w:rPr>
        <w:t>022</w:t>
      </w:r>
      <w:r>
        <w:rPr>
          <w:rFonts w:hint="eastAsia" w:ascii="仿宋" w:hAnsi="仿宋" w:eastAsia="仿宋"/>
          <w:sz w:val="28"/>
          <w:szCs w:val="28"/>
        </w:rPr>
        <w:t>年加快了校内实习实训基地建设，增量放大（见表2.4）。通过持续推进的工学结合与校企之间的广泛深入合作，校外实习实训基地已达1</w:t>
      </w:r>
      <w:r>
        <w:rPr>
          <w:rFonts w:ascii="仿宋" w:hAnsi="仿宋" w:eastAsia="仿宋"/>
          <w:sz w:val="28"/>
          <w:szCs w:val="28"/>
        </w:rPr>
        <w:t>68</w:t>
      </w:r>
      <w:r>
        <w:rPr>
          <w:rFonts w:hint="eastAsia" w:ascii="仿宋" w:hAnsi="仿宋" w:eastAsia="仿宋"/>
          <w:sz w:val="28"/>
          <w:szCs w:val="28"/>
        </w:rPr>
        <w:t>个。校内外实训基地实现专业全覆盖，基本</w:t>
      </w:r>
      <w:r>
        <w:rPr>
          <w:rFonts w:ascii="仿宋" w:hAnsi="仿宋" w:eastAsia="仿宋"/>
          <w:sz w:val="28"/>
          <w:szCs w:val="28"/>
        </w:rPr>
        <w:t>满足学生</w:t>
      </w:r>
      <w:r>
        <w:rPr>
          <w:rFonts w:hint="eastAsia" w:ascii="仿宋" w:hAnsi="仿宋" w:eastAsia="仿宋"/>
          <w:sz w:val="28"/>
          <w:szCs w:val="28"/>
        </w:rPr>
        <w:t>校内</w:t>
      </w:r>
      <w:r>
        <w:rPr>
          <w:rFonts w:ascii="仿宋" w:hAnsi="仿宋" w:eastAsia="仿宋"/>
          <w:sz w:val="28"/>
          <w:szCs w:val="28"/>
        </w:rPr>
        <w:t>实践和校外顶岗实习的</w:t>
      </w:r>
      <w:r>
        <w:rPr>
          <w:rFonts w:hint="eastAsia" w:ascii="仿宋" w:hAnsi="仿宋" w:eastAsia="仿宋"/>
          <w:sz w:val="28"/>
          <w:szCs w:val="28"/>
        </w:rPr>
        <w:t>全覆盖（见图2.7）。</w:t>
      </w:r>
    </w:p>
    <w:p>
      <w:pPr>
        <w:adjustRightInd w:val="0"/>
        <w:snapToGrid w:val="0"/>
        <w:spacing w:before="156" w:beforeLines="50" w:line="360" w:lineRule="auto"/>
        <w:jc w:val="center"/>
        <w:rPr>
          <w:rFonts w:ascii="仿宋_GB2312" w:eastAsia="仿宋_GB2312" w:hAnsiTheme="minorEastAsia"/>
          <w:sz w:val="28"/>
          <w:szCs w:val="28"/>
        </w:rPr>
      </w:pPr>
      <w:r>
        <w:drawing>
          <wp:inline distT="0" distB="0" distL="0" distR="0">
            <wp:extent cx="4391025" cy="335280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4391025" cy="3352800"/>
                    </a:xfrm>
                    <a:prstGeom prst="rect">
                      <a:avLst/>
                    </a:prstGeom>
                    <a:noFill/>
                    <a:ln>
                      <a:noFill/>
                    </a:ln>
                  </pic:spPr>
                </pic:pic>
              </a:graphicData>
            </a:graphic>
          </wp:inline>
        </w:drawing>
      </w:r>
    </w:p>
    <w:p>
      <w:pPr>
        <w:widowControl/>
        <w:spacing w:after="156" w:afterLines="50" w:line="360" w:lineRule="auto"/>
        <w:jc w:val="center"/>
        <w:rPr>
          <w:rFonts w:ascii="仿宋_GB2312" w:eastAsia="仿宋_GB2312"/>
          <w:b/>
          <w:sz w:val="24"/>
          <w:szCs w:val="24"/>
        </w:rPr>
      </w:pPr>
      <w:bookmarkStart w:id="173" w:name="_Toc124169695"/>
      <w:bookmarkStart w:id="174" w:name="_Toc124169605"/>
      <w:bookmarkStart w:id="175" w:name="_Hlk121992936"/>
      <w:r>
        <w:rPr>
          <w:rFonts w:hint="eastAsia" w:ascii="仿宋_GB2312" w:eastAsia="仿宋_GB2312"/>
          <w:b/>
          <w:sz w:val="24"/>
          <w:szCs w:val="24"/>
        </w:rPr>
        <w:t xml:space="preserve">图2. </w:t>
      </w:r>
      <w:r>
        <w:rPr>
          <w:rFonts w:ascii="仿宋_GB2312" w:eastAsia="仿宋_GB2312"/>
          <w:b/>
          <w:sz w:val="24"/>
          <w:szCs w:val="24"/>
        </w:rPr>
        <w:fldChar w:fldCharType="begin"/>
      </w:r>
      <w:r>
        <w:rPr>
          <w:rFonts w:ascii="仿宋_GB2312" w:eastAsia="仿宋_GB2312"/>
          <w:b/>
          <w:sz w:val="24"/>
          <w:szCs w:val="24"/>
        </w:rPr>
        <w:instrText xml:space="preserve"> </w:instrText>
      </w:r>
      <w:r>
        <w:rPr>
          <w:rFonts w:hint="eastAsia" w:ascii="仿宋_GB2312" w:eastAsia="仿宋_GB2312"/>
          <w:b/>
          <w:sz w:val="24"/>
          <w:szCs w:val="24"/>
        </w:rPr>
        <w:instrText xml:space="preserve">SEQ 图2. \* ARABIC</w:instrText>
      </w:r>
      <w:r>
        <w:rPr>
          <w:rFonts w:ascii="仿宋_GB2312" w:eastAsia="仿宋_GB2312"/>
          <w:b/>
          <w:sz w:val="24"/>
          <w:szCs w:val="24"/>
        </w:rPr>
        <w:instrText xml:space="preserve"> </w:instrText>
      </w:r>
      <w:r>
        <w:rPr>
          <w:rFonts w:ascii="仿宋_GB2312" w:eastAsia="仿宋_GB2312"/>
          <w:b/>
          <w:sz w:val="24"/>
          <w:szCs w:val="24"/>
        </w:rPr>
        <w:fldChar w:fldCharType="separate"/>
      </w:r>
      <w:r>
        <w:rPr>
          <w:rFonts w:ascii="仿宋_GB2312" w:eastAsia="仿宋_GB2312"/>
          <w:b/>
          <w:sz w:val="24"/>
          <w:szCs w:val="24"/>
        </w:rPr>
        <w:t>7</w:t>
      </w:r>
      <w:r>
        <w:rPr>
          <w:rFonts w:ascii="仿宋_GB2312" w:eastAsia="仿宋_GB2312"/>
          <w:b/>
          <w:sz w:val="24"/>
          <w:szCs w:val="24"/>
        </w:rPr>
        <w:fldChar w:fldCharType="end"/>
      </w:r>
      <w:r>
        <w:rPr>
          <w:rFonts w:ascii="仿宋_GB2312" w:eastAsia="仿宋_GB2312"/>
          <w:b/>
          <w:sz w:val="24"/>
          <w:szCs w:val="24"/>
        </w:rPr>
        <w:t xml:space="preserve"> </w:t>
      </w:r>
      <w:r>
        <w:rPr>
          <w:rFonts w:hint="eastAsia" w:ascii="仿宋_GB2312" w:eastAsia="仿宋_GB2312"/>
          <w:b/>
          <w:sz w:val="24"/>
          <w:szCs w:val="24"/>
        </w:rPr>
        <w:t>学校部分专业实训室</w:t>
      </w:r>
      <w:bookmarkEnd w:id="173"/>
      <w:bookmarkEnd w:id="174"/>
    </w:p>
    <w:bookmarkEnd w:id="175"/>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学校重视实验室建设与管理，通过专题会议对各二级学院实验（训）室建设规划、实验（训）室现状、使用情况、存在的问题进行交流研讨，就实验（训）室建设与管理相关规章制度要点，包括实验（训）室任务、实训队伍建设、实验（训）室管理体制、安全职责等进行重点强化，提升资源利用效能和效率。</w:t>
      </w:r>
      <w:r>
        <w:rPr>
          <w:rFonts w:ascii="仿宋" w:hAnsi="仿宋" w:eastAsia="仿宋"/>
          <w:sz w:val="28"/>
          <w:szCs w:val="28"/>
        </w:rPr>
        <w:t>根据市场需求与行业发展</w:t>
      </w:r>
      <w:r>
        <w:rPr>
          <w:rFonts w:hint="eastAsia" w:ascii="仿宋" w:hAnsi="仿宋" w:eastAsia="仿宋"/>
          <w:sz w:val="28"/>
          <w:szCs w:val="28"/>
        </w:rPr>
        <w:t>，</w:t>
      </w:r>
      <w:r>
        <w:rPr>
          <w:rFonts w:ascii="仿宋" w:hAnsi="仿宋" w:eastAsia="仿宋"/>
          <w:sz w:val="28"/>
          <w:szCs w:val="28"/>
        </w:rPr>
        <w:t>该校每年对各专业人才方案和课程标准</w:t>
      </w:r>
      <w:r>
        <w:rPr>
          <w:rFonts w:hint="eastAsia" w:ascii="仿宋" w:hAnsi="仿宋" w:eastAsia="仿宋"/>
          <w:sz w:val="28"/>
          <w:szCs w:val="28"/>
        </w:rPr>
        <w:t>进行</w:t>
      </w:r>
      <w:r>
        <w:rPr>
          <w:rFonts w:ascii="仿宋" w:hAnsi="仿宋" w:eastAsia="仿宋"/>
          <w:sz w:val="28"/>
          <w:szCs w:val="28"/>
        </w:rPr>
        <w:t>修订和优化</w:t>
      </w:r>
      <w:r>
        <w:rPr>
          <w:rFonts w:hint="eastAsia" w:ascii="仿宋" w:hAnsi="仿宋" w:eastAsia="仿宋"/>
          <w:sz w:val="28"/>
          <w:szCs w:val="28"/>
        </w:rPr>
        <w:t xml:space="preserve">；学校重视创建良好的教学环境，培育特色校园文化，不断强化文化软实力，实现优质教学软性资源的有效支撑或支持，推进该校育人质量和办学水平不断提升。 </w:t>
      </w:r>
    </w:p>
    <w:p>
      <w:pPr>
        <w:adjustRightInd w:val="0"/>
        <w:snapToGrid w:val="0"/>
        <w:spacing w:line="360" w:lineRule="auto"/>
        <w:ind w:firstLine="482" w:firstLineChars="200"/>
        <w:rPr>
          <w:rFonts w:ascii="仿宋_GB2312" w:eastAsia="仿宋_GB2312" w:hAnsiTheme="minorEastAsia"/>
          <w:b/>
          <w:bCs/>
          <w:sz w:val="24"/>
          <w:szCs w:val="24"/>
        </w:rPr>
      </w:pPr>
      <w:bookmarkStart w:id="176" w:name="_Hlk121992956"/>
    </w:p>
    <w:bookmarkEnd w:id="176"/>
    <w:p>
      <w:pPr>
        <w:adjustRightInd w:val="0"/>
        <w:snapToGrid w:val="0"/>
        <w:spacing w:line="360" w:lineRule="auto"/>
        <w:jc w:val="center"/>
        <w:rPr>
          <w:rFonts w:ascii="仿宋_GB2312" w:eastAsia="仿宋_GB2312" w:hAnsiTheme="minorEastAsia"/>
          <w:b/>
          <w:bCs/>
          <w:sz w:val="24"/>
          <w:szCs w:val="24"/>
        </w:rPr>
      </w:pPr>
      <w:bookmarkStart w:id="177" w:name="_Toc124170645"/>
      <w:r>
        <w:rPr>
          <w:rFonts w:hint="eastAsia" w:ascii="仿宋_GB2312" w:eastAsia="仿宋_GB2312" w:hAnsiTheme="minorEastAsia"/>
          <w:b/>
          <w:bCs/>
          <w:sz w:val="24"/>
          <w:szCs w:val="24"/>
        </w:rPr>
        <w:t xml:space="preserve">表2. </w:t>
      </w:r>
      <w:r>
        <w:rPr>
          <w:rFonts w:ascii="仿宋_GB2312" w:eastAsia="仿宋_GB2312" w:hAnsiTheme="minorEastAsia"/>
          <w:b/>
          <w:bCs/>
          <w:sz w:val="24"/>
          <w:szCs w:val="24"/>
        </w:rPr>
        <w:fldChar w:fldCharType="begin"/>
      </w:r>
      <w:r>
        <w:rPr>
          <w:rFonts w:ascii="仿宋_GB2312" w:eastAsia="仿宋_GB2312" w:hAnsiTheme="minorEastAsia"/>
          <w:b/>
          <w:bCs/>
          <w:sz w:val="24"/>
          <w:szCs w:val="24"/>
        </w:rPr>
        <w:instrText xml:space="preserve"> </w:instrText>
      </w:r>
      <w:r>
        <w:rPr>
          <w:rFonts w:hint="eastAsia" w:ascii="仿宋_GB2312" w:eastAsia="仿宋_GB2312" w:hAnsiTheme="minorEastAsia"/>
          <w:b/>
          <w:bCs/>
          <w:sz w:val="24"/>
          <w:szCs w:val="24"/>
        </w:rPr>
        <w:instrText xml:space="preserve">SEQ 表2. \* ARABIC</w:instrText>
      </w:r>
      <w:r>
        <w:rPr>
          <w:rFonts w:ascii="仿宋_GB2312" w:eastAsia="仿宋_GB2312" w:hAnsiTheme="minorEastAsia"/>
          <w:b/>
          <w:bCs/>
          <w:sz w:val="24"/>
          <w:szCs w:val="24"/>
        </w:rPr>
        <w:instrText xml:space="preserve"> </w:instrText>
      </w:r>
      <w:r>
        <w:rPr>
          <w:rFonts w:ascii="仿宋_GB2312" w:eastAsia="仿宋_GB2312" w:hAnsiTheme="minorEastAsia"/>
          <w:b/>
          <w:bCs/>
          <w:sz w:val="24"/>
          <w:szCs w:val="24"/>
        </w:rPr>
        <w:fldChar w:fldCharType="separate"/>
      </w:r>
      <w:r>
        <w:rPr>
          <w:rFonts w:ascii="仿宋_GB2312" w:eastAsia="仿宋_GB2312" w:hAnsiTheme="minorEastAsia"/>
          <w:b/>
          <w:bCs/>
          <w:sz w:val="24"/>
          <w:szCs w:val="24"/>
        </w:rPr>
        <w:t>4</w:t>
      </w:r>
      <w:r>
        <w:rPr>
          <w:rFonts w:ascii="仿宋_GB2312" w:eastAsia="仿宋_GB2312" w:hAnsiTheme="minorEastAsia"/>
          <w:b/>
          <w:bCs/>
          <w:sz w:val="24"/>
          <w:szCs w:val="24"/>
        </w:rPr>
        <w:fldChar w:fldCharType="end"/>
      </w:r>
      <w:r>
        <w:rPr>
          <w:rFonts w:ascii="仿宋_GB2312" w:eastAsia="仿宋_GB2312" w:hAnsiTheme="minorEastAsia"/>
          <w:b/>
          <w:bCs/>
          <w:sz w:val="24"/>
          <w:szCs w:val="24"/>
        </w:rPr>
        <w:t xml:space="preserve"> </w:t>
      </w:r>
      <w:r>
        <w:rPr>
          <w:rFonts w:hint="eastAsia" w:ascii="仿宋_GB2312" w:eastAsia="仿宋_GB2312" w:hAnsiTheme="minorEastAsia"/>
          <w:b/>
          <w:bCs/>
          <w:sz w:val="24"/>
          <w:szCs w:val="24"/>
        </w:rPr>
        <w:t>校内实训室建设一览表（2</w:t>
      </w:r>
      <w:r>
        <w:rPr>
          <w:rFonts w:ascii="仿宋_GB2312" w:eastAsia="仿宋_GB2312" w:hAnsiTheme="minorEastAsia"/>
          <w:b/>
          <w:bCs/>
          <w:sz w:val="24"/>
          <w:szCs w:val="24"/>
        </w:rPr>
        <w:t>020-2022</w:t>
      </w:r>
      <w:r>
        <w:rPr>
          <w:rFonts w:hint="eastAsia" w:ascii="仿宋_GB2312" w:eastAsia="仿宋_GB2312" w:hAnsiTheme="minorEastAsia"/>
          <w:b/>
          <w:bCs/>
          <w:sz w:val="24"/>
          <w:szCs w:val="24"/>
        </w:rPr>
        <w:t>）</w:t>
      </w:r>
      <w:bookmarkEnd w:id="177"/>
    </w:p>
    <w:tbl>
      <w:tblPr>
        <w:tblStyle w:val="44"/>
        <w:tblW w:w="0" w:type="auto"/>
        <w:tblInd w:w="0" w:type="dxa"/>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Layout w:type="autofit"/>
        <w:tblCellMar>
          <w:top w:w="0" w:type="dxa"/>
          <w:left w:w="108" w:type="dxa"/>
          <w:bottom w:w="0" w:type="dxa"/>
          <w:right w:w="108" w:type="dxa"/>
        </w:tblCellMar>
      </w:tblPr>
      <w:tblGrid>
        <w:gridCol w:w="446"/>
        <w:gridCol w:w="2202"/>
        <w:gridCol w:w="1976"/>
        <w:gridCol w:w="1977"/>
        <w:gridCol w:w="1169"/>
        <w:gridCol w:w="1127"/>
        <w:gridCol w:w="958"/>
      </w:tblGrid>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867" w:hRule="atLeast"/>
          <w:tblHeader/>
        </w:trPr>
        <w:tc>
          <w:tcPr>
            <w:tcW w:w="0" w:type="auto"/>
            <w:tcBorders>
              <w:top w:val="single" w:color="4F81BD" w:sz="8" w:space="0"/>
              <w:left w:val="single" w:color="4F81BD" w:sz="8" w:space="0"/>
              <w:bottom w:val="single" w:color="FFFFFF" w:sz="18" w:space="0"/>
              <w:right w:val="nil"/>
              <w:insideV w:val="nil"/>
            </w:tcBorders>
            <w:shd w:val="clear" w:color="auto" w:fill="4F81BD"/>
            <w:vAlign w:val="center"/>
          </w:tcPr>
          <w:p>
            <w:pPr>
              <w:widowControl/>
              <w:jc w:val="center"/>
              <w:rPr>
                <w:rFonts w:ascii="仿宋" w:hAnsi="仿宋" w:eastAsia="仿宋" w:cs="宋体"/>
                <w:b/>
                <w:bCs/>
                <w:color w:val="FFFFFF"/>
                <w:kern w:val="0"/>
                <w:szCs w:val="21"/>
              </w:rPr>
            </w:pPr>
            <w:r>
              <w:rPr>
                <w:rFonts w:hint="eastAsia" w:ascii="仿宋" w:hAnsi="仿宋" w:eastAsia="仿宋" w:cs="宋体"/>
                <w:b/>
                <w:bCs/>
                <w:color w:val="FFFFFF"/>
                <w:kern w:val="0"/>
                <w:szCs w:val="21"/>
              </w:rPr>
              <w:t>序号</w:t>
            </w:r>
          </w:p>
        </w:tc>
        <w:tc>
          <w:tcPr>
            <w:tcW w:w="2202" w:type="dxa"/>
            <w:tcBorders>
              <w:top w:val="single" w:color="4F81BD" w:sz="8" w:space="0"/>
              <w:left w:val="single" w:color="4F81BD" w:sz="8" w:space="0"/>
              <w:bottom w:val="single" w:color="FFFFFF" w:sz="18" w:space="0"/>
              <w:right w:val="nil"/>
              <w:insideV w:val="nil"/>
            </w:tcBorders>
            <w:shd w:val="clear" w:color="auto" w:fill="4F81BD"/>
            <w:vAlign w:val="center"/>
          </w:tcPr>
          <w:p>
            <w:pPr>
              <w:widowControl/>
              <w:jc w:val="center"/>
              <w:rPr>
                <w:rFonts w:ascii="仿宋" w:hAnsi="仿宋" w:eastAsia="仿宋" w:cs="宋体"/>
                <w:b w:val="0"/>
                <w:bCs w:val="0"/>
                <w:color w:val="FFFFFF"/>
                <w:kern w:val="0"/>
                <w:szCs w:val="21"/>
              </w:rPr>
            </w:pPr>
            <w:r>
              <w:rPr>
                <w:rFonts w:hint="eastAsia" w:ascii="仿宋" w:hAnsi="仿宋" w:eastAsia="仿宋" w:cs="宋体"/>
                <w:b/>
                <w:bCs/>
                <w:color w:val="FFFFFF"/>
                <w:kern w:val="0"/>
                <w:szCs w:val="21"/>
              </w:rPr>
              <w:t>实践教学场所</w:t>
            </w:r>
          </w:p>
        </w:tc>
        <w:tc>
          <w:tcPr>
            <w:tcW w:w="1976" w:type="dxa"/>
            <w:tcBorders>
              <w:top w:val="single" w:color="4F81BD" w:sz="8" w:space="0"/>
              <w:left w:val="single" w:color="4F81BD" w:sz="8" w:space="0"/>
              <w:bottom w:val="single" w:color="FFFFFF" w:sz="18" w:space="0"/>
              <w:right w:val="nil"/>
              <w:insideV w:val="nil"/>
            </w:tcBorders>
            <w:shd w:val="clear" w:color="auto" w:fill="4F81BD"/>
            <w:vAlign w:val="center"/>
          </w:tcPr>
          <w:p>
            <w:pPr>
              <w:widowControl/>
              <w:jc w:val="center"/>
              <w:rPr>
                <w:rFonts w:ascii="仿宋" w:hAnsi="仿宋" w:eastAsia="仿宋" w:cs="宋体"/>
                <w:b w:val="0"/>
                <w:bCs w:val="0"/>
                <w:color w:val="FFFFFF"/>
                <w:kern w:val="0"/>
                <w:szCs w:val="21"/>
              </w:rPr>
            </w:pPr>
            <w:r>
              <w:rPr>
                <w:rFonts w:hint="eastAsia" w:ascii="仿宋" w:hAnsi="仿宋" w:eastAsia="仿宋" w:cs="宋体"/>
                <w:b/>
                <w:bCs/>
                <w:color w:val="FFFFFF"/>
                <w:kern w:val="0"/>
                <w:szCs w:val="21"/>
              </w:rPr>
              <w:t>所属部门</w:t>
            </w:r>
          </w:p>
        </w:tc>
        <w:tc>
          <w:tcPr>
            <w:tcW w:w="1977" w:type="dxa"/>
            <w:tcBorders>
              <w:top w:val="single" w:color="4F81BD" w:sz="8" w:space="0"/>
              <w:left w:val="single" w:color="4F81BD" w:sz="8" w:space="0"/>
              <w:bottom w:val="single" w:color="FFFFFF" w:sz="18" w:space="0"/>
              <w:right w:val="nil"/>
              <w:insideV w:val="nil"/>
            </w:tcBorders>
            <w:shd w:val="clear" w:color="auto" w:fill="4F81BD"/>
            <w:vAlign w:val="center"/>
          </w:tcPr>
          <w:p>
            <w:pPr>
              <w:widowControl/>
              <w:jc w:val="center"/>
              <w:rPr>
                <w:rFonts w:ascii="仿宋" w:hAnsi="仿宋" w:eastAsia="仿宋" w:cs="宋体"/>
                <w:b w:val="0"/>
                <w:bCs w:val="0"/>
                <w:color w:val="FFFFFF"/>
                <w:kern w:val="0"/>
                <w:szCs w:val="21"/>
              </w:rPr>
            </w:pPr>
            <w:r>
              <w:rPr>
                <w:rFonts w:hint="eastAsia" w:ascii="仿宋" w:hAnsi="仿宋" w:eastAsia="仿宋" w:cs="宋体"/>
                <w:b/>
                <w:bCs/>
                <w:color w:val="FFFFFF"/>
                <w:kern w:val="0"/>
                <w:szCs w:val="21"/>
              </w:rPr>
              <w:t>面向专业</w:t>
            </w:r>
          </w:p>
        </w:tc>
        <w:tc>
          <w:tcPr>
            <w:tcW w:w="1169" w:type="dxa"/>
            <w:tcBorders>
              <w:top w:val="single" w:color="4F81BD" w:sz="8" w:space="0"/>
              <w:left w:val="single" w:color="4F81BD" w:sz="8" w:space="0"/>
              <w:bottom w:val="single" w:color="FFFFFF" w:sz="18" w:space="0"/>
              <w:right w:val="nil"/>
              <w:insideV w:val="nil"/>
            </w:tcBorders>
            <w:shd w:val="clear" w:color="auto" w:fill="4F81BD"/>
            <w:vAlign w:val="center"/>
          </w:tcPr>
          <w:p>
            <w:pPr>
              <w:widowControl/>
              <w:jc w:val="center"/>
              <w:rPr>
                <w:rFonts w:ascii="仿宋" w:hAnsi="仿宋" w:eastAsia="仿宋" w:cs="宋体"/>
                <w:b w:val="0"/>
                <w:bCs w:val="0"/>
                <w:color w:val="FFFFFF"/>
                <w:kern w:val="0"/>
                <w:szCs w:val="21"/>
              </w:rPr>
            </w:pPr>
            <w:r>
              <w:rPr>
                <w:rFonts w:hint="eastAsia" w:ascii="仿宋" w:hAnsi="仿宋" w:eastAsia="仿宋" w:cs="宋体"/>
                <w:b/>
                <w:bCs/>
                <w:color w:val="FFFFFF"/>
                <w:kern w:val="0"/>
                <w:szCs w:val="21"/>
              </w:rPr>
              <w:t>建筑面积（m²）</w:t>
            </w:r>
          </w:p>
        </w:tc>
        <w:tc>
          <w:tcPr>
            <w:tcW w:w="1127" w:type="dxa"/>
            <w:tcBorders>
              <w:top w:val="single" w:color="4F81BD" w:sz="8" w:space="0"/>
              <w:left w:val="single" w:color="4F81BD" w:sz="8" w:space="0"/>
              <w:bottom w:val="single" w:color="FFFFFF" w:sz="18" w:space="0"/>
              <w:right w:val="nil"/>
              <w:insideV w:val="nil"/>
            </w:tcBorders>
            <w:shd w:val="clear" w:color="auto" w:fill="4F81BD"/>
            <w:vAlign w:val="center"/>
          </w:tcPr>
          <w:p>
            <w:pPr>
              <w:widowControl/>
              <w:jc w:val="center"/>
              <w:rPr>
                <w:rFonts w:ascii="仿宋" w:hAnsi="仿宋" w:eastAsia="仿宋" w:cs="宋体"/>
                <w:b w:val="0"/>
                <w:bCs w:val="0"/>
                <w:color w:val="FFFFFF"/>
                <w:kern w:val="0"/>
                <w:szCs w:val="21"/>
              </w:rPr>
            </w:pPr>
            <w:r>
              <w:rPr>
                <w:rFonts w:hint="eastAsia" w:ascii="仿宋" w:hAnsi="仿宋" w:eastAsia="仿宋" w:cs="宋体"/>
                <w:b/>
                <w:bCs/>
                <w:color w:val="FFFFFF"/>
                <w:kern w:val="0"/>
                <w:szCs w:val="21"/>
              </w:rPr>
              <w:t>设备值（万元）</w:t>
            </w:r>
          </w:p>
        </w:tc>
        <w:tc>
          <w:tcPr>
            <w:tcW w:w="958" w:type="dxa"/>
            <w:tcBorders>
              <w:top w:val="single" w:color="4F81BD" w:sz="8" w:space="0"/>
              <w:left w:val="single" w:color="4F81BD" w:sz="8" w:space="0"/>
              <w:bottom w:val="single" w:color="FFFFFF" w:sz="18" w:space="0"/>
              <w:right w:val="single" w:color="4F81BD" w:sz="8" w:space="0"/>
              <w:insideV w:val="nil"/>
            </w:tcBorders>
            <w:shd w:val="clear" w:color="auto" w:fill="4F81BD"/>
            <w:vAlign w:val="center"/>
          </w:tcPr>
          <w:p>
            <w:pPr>
              <w:widowControl/>
              <w:jc w:val="center"/>
              <w:rPr>
                <w:rFonts w:ascii="仿宋" w:hAnsi="仿宋" w:eastAsia="仿宋" w:cs="宋体"/>
                <w:b w:val="0"/>
                <w:bCs w:val="0"/>
                <w:color w:val="FFFFFF"/>
                <w:kern w:val="0"/>
                <w:szCs w:val="21"/>
              </w:rPr>
            </w:pPr>
            <w:r>
              <w:rPr>
                <w:rFonts w:hint="eastAsia" w:ascii="仿宋" w:hAnsi="仿宋" w:eastAsia="仿宋" w:cs="宋体"/>
                <w:b/>
                <w:bCs/>
                <w:color w:val="FFFFFF"/>
                <w:kern w:val="0"/>
                <w:szCs w:val="21"/>
              </w:rPr>
              <w:t>建设时间</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tcBorders>
              <w:top w:val="single" w:color="FFFFFF" w:sz="1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1</w:t>
            </w:r>
          </w:p>
        </w:tc>
        <w:tc>
          <w:tcPr>
            <w:tcW w:w="2202" w:type="dxa"/>
            <w:tcBorders>
              <w:top w:val="single" w:color="FFFFFF" w:sz="1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化学实验室</w:t>
            </w:r>
          </w:p>
        </w:tc>
        <w:tc>
          <w:tcPr>
            <w:tcW w:w="1976" w:type="dxa"/>
            <w:tcBorders>
              <w:top w:val="single" w:color="FFFFFF" w:sz="1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医学与公共服务学院</w:t>
            </w:r>
          </w:p>
        </w:tc>
        <w:tc>
          <w:tcPr>
            <w:tcW w:w="1977" w:type="dxa"/>
            <w:tcBorders>
              <w:top w:val="single" w:color="FFFFFF" w:sz="1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药品经营与管理</w:t>
            </w:r>
          </w:p>
        </w:tc>
        <w:tc>
          <w:tcPr>
            <w:tcW w:w="1169" w:type="dxa"/>
            <w:tcBorders>
              <w:top w:val="single" w:color="FFFFFF" w:sz="1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63</w:t>
            </w:r>
          </w:p>
        </w:tc>
        <w:tc>
          <w:tcPr>
            <w:tcW w:w="1127" w:type="dxa"/>
            <w:tcBorders>
              <w:top w:val="single" w:color="FFFFFF" w:sz="1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17.8</w:t>
            </w:r>
          </w:p>
        </w:tc>
        <w:tc>
          <w:tcPr>
            <w:tcW w:w="958" w:type="dxa"/>
            <w:tcBorders>
              <w:top w:val="single" w:color="FFFFFF" w:sz="1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2021</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2</w:t>
            </w:r>
          </w:p>
        </w:tc>
        <w:tc>
          <w:tcPr>
            <w:tcW w:w="2202" w:type="dxa"/>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实训基地（高铁）</w:t>
            </w:r>
          </w:p>
        </w:tc>
        <w:tc>
          <w:tcPr>
            <w:tcW w:w="1976" w:type="dxa"/>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国际商学院</w:t>
            </w:r>
          </w:p>
        </w:tc>
        <w:tc>
          <w:tcPr>
            <w:tcW w:w="197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高速铁路客运服务</w:t>
            </w:r>
          </w:p>
        </w:tc>
        <w:tc>
          <w:tcPr>
            <w:tcW w:w="1169" w:type="dxa"/>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156</w:t>
            </w:r>
          </w:p>
        </w:tc>
        <w:tc>
          <w:tcPr>
            <w:tcW w:w="1127" w:type="dxa"/>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300</w:t>
            </w:r>
          </w:p>
        </w:tc>
        <w:tc>
          <w:tcPr>
            <w:tcW w:w="958" w:type="dxa"/>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2021</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b w:val="0"/>
                <w:bCs w:val="0"/>
                <w:color w:val="000000"/>
                <w:kern w:val="0"/>
                <w:szCs w:val="21"/>
              </w:rPr>
            </w:pPr>
          </w:p>
        </w:tc>
        <w:tc>
          <w:tcPr>
            <w:tcW w:w="2202"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1976"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197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空中乘务</w:t>
            </w:r>
          </w:p>
        </w:tc>
        <w:tc>
          <w:tcPr>
            <w:tcW w:w="1169"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1127"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958"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3</w:t>
            </w:r>
          </w:p>
        </w:tc>
        <w:tc>
          <w:tcPr>
            <w:tcW w:w="2202"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客房实训室</w:t>
            </w:r>
          </w:p>
        </w:tc>
        <w:tc>
          <w:tcPr>
            <w:tcW w:w="1976"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国际商学院</w:t>
            </w:r>
          </w:p>
        </w:tc>
        <w:tc>
          <w:tcPr>
            <w:tcW w:w="197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酒店管理与数字化运营</w:t>
            </w:r>
          </w:p>
        </w:tc>
        <w:tc>
          <w:tcPr>
            <w:tcW w:w="1169"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22</w:t>
            </w:r>
          </w:p>
        </w:tc>
        <w:tc>
          <w:tcPr>
            <w:tcW w:w="112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13.9</w:t>
            </w:r>
          </w:p>
        </w:tc>
        <w:tc>
          <w:tcPr>
            <w:tcW w:w="958"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2021</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vMerge w:val="restar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4</w:t>
            </w:r>
          </w:p>
        </w:tc>
        <w:tc>
          <w:tcPr>
            <w:tcW w:w="2202" w:type="dxa"/>
            <w:vMerge w:val="restar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建筑室内设计实训基地</w:t>
            </w:r>
          </w:p>
        </w:tc>
        <w:tc>
          <w:tcPr>
            <w:tcW w:w="1976" w:type="dxa"/>
            <w:vMerge w:val="restar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艺术与建筑学院</w:t>
            </w:r>
          </w:p>
        </w:tc>
        <w:tc>
          <w:tcPr>
            <w:tcW w:w="197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建筑设计</w:t>
            </w:r>
          </w:p>
        </w:tc>
        <w:tc>
          <w:tcPr>
            <w:tcW w:w="1169" w:type="dxa"/>
            <w:vMerge w:val="restar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41896.14</w:t>
            </w:r>
          </w:p>
        </w:tc>
        <w:tc>
          <w:tcPr>
            <w:tcW w:w="1127" w:type="dxa"/>
            <w:vMerge w:val="restar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1.9</w:t>
            </w:r>
          </w:p>
        </w:tc>
        <w:tc>
          <w:tcPr>
            <w:tcW w:w="958" w:type="dxa"/>
            <w:vMerge w:val="restar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2021</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widowControl/>
              <w:jc w:val="center"/>
              <w:rPr>
                <w:rFonts w:ascii="仿宋" w:hAnsi="仿宋" w:eastAsia="仿宋" w:cs="宋体"/>
                <w:b w:val="0"/>
                <w:bCs w:val="0"/>
                <w:color w:val="000000"/>
                <w:kern w:val="0"/>
                <w:szCs w:val="21"/>
              </w:rPr>
            </w:pPr>
          </w:p>
        </w:tc>
        <w:tc>
          <w:tcPr>
            <w:tcW w:w="2202"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widowControl/>
              <w:jc w:val="center"/>
              <w:rPr>
                <w:rFonts w:ascii="仿宋" w:hAnsi="仿宋" w:eastAsia="仿宋" w:cs="宋体"/>
                <w:color w:val="000000"/>
                <w:kern w:val="0"/>
                <w:szCs w:val="21"/>
              </w:rPr>
            </w:pPr>
          </w:p>
        </w:tc>
        <w:tc>
          <w:tcPr>
            <w:tcW w:w="1976"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widowControl/>
              <w:jc w:val="center"/>
              <w:rPr>
                <w:rFonts w:ascii="仿宋" w:hAnsi="仿宋" w:eastAsia="仿宋" w:cs="宋体"/>
                <w:color w:val="000000"/>
                <w:kern w:val="0"/>
                <w:szCs w:val="21"/>
              </w:rPr>
            </w:pPr>
          </w:p>
        </w:tc>
        <w:tc>
          <w:tcPr>
            <w:tcW w:w="197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环境艺术设计</w:t>
            </w:r>
          </w:p>
        </w:tc>
        <w:tc>
          <w:tcPr>
            <w:tcW w:w="1169"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widowControl/>
              <w:jc w:val="center"/>
              <w:rPr>
                <w:rFonts w:ascii="仿宋" w:hAnsi="仿宋" w:eastAsia="仿宋" w:cs="宋体"/>
                <w:color w:val="000000"/>
                <w:kern w:val="0"/>
                <w:szCs w:val="21"/>
              </w:rPr>
            </w:pPr>
          </w:p>
        </w:tc>
        <w:tc>
          <w:tcPr>
            <w:tcW w:w="1127"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widowControl/>
              <w:jc w:val="center"/>
              <w:rPr>
                <w:rFonts w:ascii="仿宋" w:hAnsi="仿宋" w:eastAsia="仿宋" w:cs="宋体"/>
                <w:color w:val="000000"/>
                <w:kern w:val="0"/>
                <w:szCs w:val="21"/>
              </w:rPr>
            </w:pPr>
          </w:p>
        </w:tc>
        <w:tc>
          <w:tcPr>
            <w:tcW w:w="958"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widowControl/>
              <w:jc w:val="center"/>
              <w:rPr>
                <w:rFonts w:ascii="仿宋" w:hAnsi="仿宋" w:eastAsia="仿宋" w:cs="宋体"/>
                <w:color w:val="000000"/>
                <w:kern w:val="0"/>
                <w:szCs w:val="21"/>
              </w:rPr>
            </w:pP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b w:val="0"/>
                <w:bCs w:val="0"/>
                <w:color w:val="000000"/>
                <w:kern w:val="0"/>
                <w:szCs w:val="21"/>
              </w:rPr>
            </w:pPr>
          </w:p>
        </w:tc>
        <w:tc>
          <w:tcPr>
            <w:tcW w:w="2202"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1976"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197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建筑室内设计</w:t>
            </w:r>
          </w:p>
        </w:tc>
        <w:tc>
          <w:tcPr>
            <w:tcW w:w="1169"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1127"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958"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5</w:t>
            </w:r>
          </w:p>
        </w:tc>
        <w:tc>
          <w:tcPr>
            <w:tcW w:w="2202" w:type="dxa"/>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建筑工程技术实训中心</w:t>
            </w:r>
          </w:p>
        </w:tc>
        <w:tc>
          <w:tcPr>
            <w:tcW w:w="1976" w:type="dxa"/>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艺术与建筑学院</w:t>
            </w:r>
          </w:p>
        </w:tc>
        <w:tc>
          <w:tcPr>
            <w:tcW w:w="197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建筑设计</w:t>
            </w:r>
          </w:p>
        </w:tc>
        <w:tc>
          <w:tcPr>
            <w:tcW w:w="1169" w:type="dxa"/>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4639.74</w:t>
            </w:r>
          </w:p>
        </w:tc>
        <w:tc>
          <w:tcPr>
            <w:tcW w:w="1127" w:type="dxa"/>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3.3</w:t>
            </w:r>
          </w:p>
        </w:tc>
        <w:tc>
          <w:tcPr>
            <w:tcW w:w="958" w:type="dxa"/>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2021</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b w:val="0"/>
                <w:bCs w:val="0"/>
                <w:color w:val="000000"/>
                <w:kern w:val="0"/>
                <w:szCs w:val="21"/>
              </w:rPr>
            </w:pPr>
          </w:p>
        </w:tc>
        <w:tc>
          <w:tcPr>
            <w:tcW w:w="2202"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1976"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197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工程造价</w:t>
            </w:r>
          </w:p>
        </w:tc>
        <w:tc>
          <w:tcPr>
            <w:tcW w:w="1169"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1127"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958"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6</w:t>
            </w:r>
          </w:p>
        </w:tc>
        <w:tc>
          <w:tcPr>
            <w:tcW w:w="2202" w:type="dxa"/>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形体化妆综合训练室</w:t>
            </w:r>
          </w:p>
        </w:tc>
        <w:tc>
          <w:tcPr>
            <w:tcW w:w="1976" w:type="dxa"/>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国际商学院</w:t>
            </w:r>
          </w:p>
        </w:tc>
        <w:tc>
          <w:tcPr>
            <w:tcW w:w="197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空中乘务</w:t>
            </w:r>
          </w:p>
        </w:tc>
        <w:tc>
          <w:tcPr>
            <w:tcW w:w="1169" w:type="dxa"/>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160</w:t>
            </w:r>
          </w:p>
        </w:tc>
        <w:tc>
          <w:tcPr>
            <w:tcW w:w="1127" w:type="dxa"/>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7.56</w:t>
            </w:r>
          </w:p>
        </w:tc>
        <w:tc>
          <w:tcPr>
            <w:tcW w:w="958" w:type="dxa"/>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b w:val="0"/>
                <w:bCs w:val="0"/>
                <w:color w:val="000000"/>
                <w:kern w:val="0"/>
                <w:szCs w:val="21"/>
              </w:rPr>
            </w:pPr>
          </w:p>
        </w:tc>
        <w:tc>
          <w:tcPr>
            <w:tcW w:w="2202"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1976"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197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高速铁路客运服务</w:t>
            </w:r>
          </w:p>
        </w:tc>
        <w:tc>
          <w:tcPr>
            <w:tcW w:w="1169"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1127"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958"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7</w:t>
            </w:r>
          </w:p>
        </w:tc>
        <w:tc>
          <w:tcPr>
            <w:tcW w:w="2202" w:type="dxa"/>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形态实验室1</w:t>
            </w:r>
          </w:p>
        </w:tc>
        <w:tc>
          <w:tcPr>
            <w:tcW w:w="1976" w:type="dxa"/>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医学与公共服务学院</w:t>
            </w:r>
          </w:p>
        </w:tc>
        <w:tc>
          <w:tcPr>
            <w:tcW w:w="197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药品经营与管理</w:t>
            </w:r>
          </w:p>
        </w:tc>
        <w:tc>
          <w:tcPr>
            <w:tcW w:w="1169" w:type="dxa"/>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94</w:t>
            </w:r>
          </w:p>
        </w:tc>
        <w:tc>
          <w:tcPr>
            <w:tcW w:w="1127" w:type="dxa"/>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50.85</w:t>
            </w:r>
          </w:p>
        </w:tc>
        <w:tc>
          <w:tcPr>
            <w:tcW w:w="958" w:type="dxa"/>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b w:val="0"/>
                <w:bCs w:val="0"/>
                <w:color w:val="000000"/>
                <w:kern w:val="0"/>
                <w:szCs w:val="21"/>
              </w:rPr>
            </w:pPr>
          </w:p>
        </w:tc>
        <w:tc>
          <w:tcPr>
            <w:tcW w:w="2202"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1976"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197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老年保健与管理</w:t>
            </w:r>
          </w:p>
        </w:tc>
        <w:tc>
          <w:tcPr>
            <w:tcW w:w="1169"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1127"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958"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widowControl/>
              <w:jc w:val="center"/>
              <w:rPr>
                <w:rFonts w:ascii="仿宋" w:hAnsi="仿宋" w:eastAsia="仿宋" w:cs="宋体"/>
                <w:b w:val="0"/>
                <w:bCs w:val="0"/>
                <w:color w:val="000000"/>
                <w:kern w:val="0"/>
                <w:szCs w:val="21"/>
              </w:rPr>
            </w:pPr>
          </w:p>
        </w:tc>
        <w:tc>
          <w:tcPr>
            <w:tcW w:w="2202"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widowControl/>
              <w:jc w:val="center"/>
              <w:rPr>
                <w:rFonts w:ascii="仿宋" w:hAnsi="仿宋" w:eastAsia="仿宋" w:cs="宋体"/>
                <w:color w:val="000000"/>
                <w:kern w:val="0"/>
                <w:szCs w:val="21"/>
              </w:rPr>
            </w:pPr>
          </w:p>
        </w:tc>
        <w:tc>
          <w:tcPr>
            <w:tcW w:w="1976"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widowControl/>
              <w:jc w:val="center"/>
              <w:rPr>
                <w:rFonts w:ascii="仿宋" w:hAnsi="仿宋" w:eastAsia="仿宋" w:cs="宋体"/>
                <w:color w:val="000000"/>
                <w:kern w:val="0"/>
                <w:szCs w:val="21"/>
              </w:rPr>
            </w:pPr>
          </w:p>
        </w:tc>
        <w:tc>
          <w:tcPr>
            <w:tcW w:w="197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健康管理</w:t>
            </w:r>
          </w:p>
        </w:tc>
        <w:tc>
          <w:tcPr>
            <w:tcW w:w="1169"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widowControl/>
              <w:jc w:val="center"/>
              <w:rPr>
                <w:rFonts w:ascii="仿宋" w:hAnsi="仿宋" w:eastAsia="仿宋" w:cs="宋体"/>
                <w:color w:val="000000"/>
                <w:kern w:val="0"/>
                <w:szCs w:val="21"/>
              </w:rPr>
            </w:pPr>
          </w:p>
        </w:tc>
        <w:tc>
          <w:tcPr>
            <w:tcW w:w="1127"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widowControl/>
              <w:jc w:val="center"/>
              <w:rPr>
                <w:rFonts w:ascii="仿宋" w:hAnsi="仿宋" w:eastAsia="仿宋" w:cs="宋体"/>
                <w:color w:val="000000"/>
                <w:kern w:val="0"/>
                <w:szCs w:val="21"/>
              </w:rPr>
            </w:pPr>
          </w:p>
        </w:tc>
        <w:tc>
          <w:tcPr>
            <w:tcW w:w="958"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widowControl/>
              <w:jc w:val="center"/>
              <w:rPr>
                <w:rFonts w:ascii="仿宋" w:hAnsi="仿宋" w:eastAsia="仿宋" w:cs="宋体"/>
                <w:color w:val="000000"/>
                <w:kern w:val="0"/>
                <w:szCs w:val="21"/>
              </w:rPr>
            </w:pP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b w:val="0"/>
                <w:bCs w:val="0"/>
                <w:color w:val="000000"/>
                <w:kern w:val="0"/>
                <w:szCs w:val="21"/>
              </w:rPr>
            </w:pPr>
          </w:p>
        </w:tc>
        <w:tc>
          <w:tcPr>
            <w:tcW w:w="2202"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1976"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197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护理</w:t>
            </w:r>
          </w:p>
        </w:tc>
        <w:tc>
          <w:tcPr>
            <w:tcW w:w="1169"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1127"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958"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8</w:t>
            </w:r>
          </w:p>
        </w:tc>
        <w:tc>
          <w:tcPr>
            <w:tcW w:w="2202" w:type="dxa"/>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形态实验室2</w:t>
            </w:r>
          </w:p>
        </w:tc>
        <w:tc>
          <w:tcPr>
            <w:tcW w:w="1976" w:type="dxa"/>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医学与公共服务学院</w:t>
            </w:r>
          </w:p>
        </w:tc>
        <w:tc>
          <w:tcPr>
            <w:tcW w:w="197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护理</w:t>
            </w:r>
          </w:p>
        </w:tc>
        <w:tc>
          <w:tcPr>
            <w:tcW w:w="1169" w:type="dxa"/>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81</w:t>
            </w:r>
          </w:p>
        </w:tc>
        <w:tc>
          <w:tcPr>
            <w:tcW w:w="1127" w:type="dxa"/>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46.53</w:t>
            </w:r>
          </w:p>
        </w:tc>
        <w:tc>
          <w:tcPr>
            <w:tcW w:w="958" w:type="dxa"/>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b w:val="0"/>
                <w:bCs w:val="0"/>
                <w:color w:val="000000"/>
                <w:kern w:val="0"/>
                <w:szCs w:val="21"/>
              </w:rPr>
            </w:pPr>
          </w:p>
        </w:tc>
        <w:tc>
          <w:tcPr>
            <w:tcW w:w="2202"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1976"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197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药品经营与管理</w:t>
            </w:r>
          </w:p>
        </w:tc>
        <w:tc>
          <w:tcPr>
            <w:tcW w:w="1169"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1127"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958"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widowControl/>
              <w:jc w:val="center"/>
              <w:rPr>
                <w:rFonts w:ascii="仿宋" w:hAnsi="仿宋" w:eastAsia="仿宋" w:cs="宋体"/>
                <w:b w:val="0"/>
                <w:bCs w:val="0"/>
                <w:color w:val="000000"/>
                <w:kern w:val="0"/>
                <w:szCs w:val="21"/>
              </w:rPr>
            </w:pPr>
          </w:p>
        </w:tc>
        <w:tc>
          <w:tcPr>
            <w:tcW w:w="2202"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widowControl/>
              <w:jc w:val="center"/>
              <w:rPr>
                <w:rFonts w:ascii="仿宋" w:hAnsi="仿宋" w:eastAsia="仿宋" w:cs="宋体"/>
                <w:color w:val="000000"/>
                <w:kern w:val="0"/>
                <w:szCs w:val="21"/>
              </w:rPr>
            </w:pPr>
          </w:p>
        </w:tc>
        <w:tc>
          <w:tcPr>
            <w:tcW w:w="1976"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widowControl/>
              <w:jc w:val="center"/>
              <w:rPr>
                <w:rFonts w:ascii="仿宋" w:hAnsi="仿宋" w:eastAsia="仿宋" w:cs="宋体"/>
                <w:color w:val="000000"/>
                <w:kern w:val="0"/>
                <w:szCs w:val="21"/>
              </w:rPr>
            </w:pPr>
          </w:p>
        </w:tc>
        <w:tc>
          <w:tcPr>
            <w:tcW w:w="197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健康管理</w:t>
            </w:r>
          </w:p>
        </w:tc>
        <w:tc>
          <w:tcPr>
            <w:tcW w:w="1169"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widowControl/>
              <w:jc w:val="center"/>
              <w:rPr>
                <w:rFonts w:ascii="仿宋" w:hAnsi="仿宋" w:eastAsia="仿宋" w:cs="宋体"/>
                <w:color w:val="000000"/>
                <w:kern w:val="0"/>
                <w:szCs w:val="21"/>
              </w:rPr>
            </w:pPr>
          </w:p>
        </w:tc>
        <w:tc>
          <w:tcPr>
            <w:tcW w:w="1127"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widowControl/>
              <w:jc w:val="center"/>
              <w:rPr>
                <w:rFonts w:ascii="仿宋" w:hAnsi="仿宋" w:eastAsia="仿宋" w:cs="宋体"/>
                <w:color w:val="000000"/>
                <w:kern w:val="0"/>
                <w:szCs w:val="21"/>
              </w:rPr>
            </w:pPr>
          </w:p>
        </w:tc>
        <w:tc>
          <w:tcPr>
            <w:tcW w:w="958"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widowControl/>
              <w:jc w:val="center"/>
              <w:rPr>
                <w:rFonts w:ascii="仿宋" w:hAnsi="仿宋" w:eastAsia="仿宋" w:cs="宋体"/>
                <w:color w:val="000000"/>
                <w:kern w:val="0"/>
                <w:szCs w:val="21"/>
              </w:rPr>
            </w:pP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b w:val="0"/>
                <w:bCs w:val="0"/>
                <w:color w:val="000000"/>
                <w:kern w:val="0"/>
                <w:szCs w:val="21"/>
              </w:rPr>
            </w:pPr>
          </w:p>
        </w:tc>
        <w:tc>
          <w:tcPr>
            <w:tcW w:w="2202"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1976"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197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老年保健与管理</w:t>
            </w:r>
          </w:p>
        </w:tc>
        <w:tc>
          <w:tcPr>
            <w:tcW w:w="1169"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1127"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958"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9</w:t>
            </w:r>
          </w:p>
        </w:tc>
        <w:tc>
          <w:tcPr>
            <w:tcW w:w="2202"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护理实习实训基地</w:t>
            </w:r>
          </w:p>
        </w:tc>
        <w:tc>
          <w:tcPr>
            <w:tcW w:w="1976"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医学与公共服务学院</w:t>
            </w:r>
          </w:p>
        </w:tc>
        <w:tc>
          <w:tcPr>
            <w:tcW w:w="197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护理</w:t>
            </w:r>
          </w:p>
        </w:tc>
        <w:tc>
          <w:tcPr>
            <w:tcW w:w="1169"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20503.24</w:t>
            </w:r>
          </w:p>
        </w:tc>
        <w:tc>
          <w:tcPr>
            <w:tcW w:w="112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1.3</w:t>
            </w:r>
          </w:p>
        </w:tc>
        <w:tc>
          <w:tcPr>
            <w:tcW w:w="958"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10</w:t>
            </w:r>
          </w:p>
        </w:tc>
        <w:tc>
          <w:tcPr>
            <w:tcW w:w="2202"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护理实训室1</w:t>
            </w:r>
          </w:p>
        </w:tc>
        <w:tc>
          <w:tcPr>
            <w:tcW w:w="1976"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医学与公共服务学院</w:t>
            </w:r>
          </w:p>
        </w:tc>
        <w:tc>
          <w:tcPr>
            <w:tcW w:w="197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护理</w:t>
            </w:r>
          </w:p>
        </w:tc>
        <w:tc>
          <w:tcPr>
            <w:tcW w:w="1169"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128</w:t>
            </w:r>
          </w:p>
        </w:tc>
        <w:tc>
          <w:tcPr>
            <w:tcW w:w="112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38.25</w:t>
            </w:r>
          </w:p>
        </w:tc>
        <w:tc>
          <w:tcPr>
            <w:tcW w:w="958"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11</w:t>
            </w:r>
          </w:p>
        </w:tc>
        <w:tc>
          <w:tcPr>
            <w:tcW w:w="2202"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护理实训室2</w:t>
            </w:r>
          </w:p>
        </w:tc>
        <w:tc>
          <w:tcPr>
            <w:tcW w:w="1976"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医学与公共服务学院</w:t>
            </w:r>
          </w:p>
        </w:tc>
        <w:tc>
          <w:tcPr>
            <w:tcW w:w="197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护理</w:t>
            </w:r>
          </w:p>
        </w:tc>
        <w:tc>
          <w:tcPr>
            <w:tcW w:w="1169"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81</w:t>
            </w:r>
          </w:p>
        </w:tc>
        <w:tc>
          <w:tcPr>
            <w:tcW w:w="112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52.5</w:t>
            </w:r>
          </w:p>
        </w:tc>
        <w:tc>
          <w:tcPr>
            <w:tcW w:w="958"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12</w:t>
            </w:r>
          </w:p>
        </w:tc>
        <w:tc>
          <w:tcPr>
            <w:tcW w:w="2202"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护理实训室3</w:t>
            </w:r>
          </w:p>
        </w:tc>
        <w:tc>
          <w:tcPr>
            <w:tcW w:w="1976"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医学与公共服务学院</w:t>
            </w:r>
          </w:p>
        </w:tc>
        <w:tc>
          <w:tcPr>
            <w:tcW w:w="197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护理</w:t>
            </w:r>
          </w:p>
        </w:tc>
        <w:tc>
          <w:tcPr>
            <w:tcW w:w="1169"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119</w:t>
            </w:r>
          </w:p>
        </w:tc>
        <w:tc>
          <w:tcPr>
            <w:tcW w:w="112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33.5</w:t>
            </w:r>
          </w:p>
        </w:tc>
        <w:tc>
          <w:tcPr>
            <w:tcW w:w="958"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13</w:t>
            </w:r>
          </w:p>
        </w:tc>
        <w:tc>
          <w:tcPr>
            <w:tcW w:w="2202"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护理实训室4</w:t>
            </w:r>
          </w:p>
        </w:tc>
        <w:tc>
          <w:tcPr>
            <w:tcW w:w="1976"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医学与公共服务学院</w:t>
            </w:r>
          </w:p>
        </w:tc>
        <w:tc>
          <w:tcPr>
            <w:tcW w:w="197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护理</w:t>
            </w:r>
          </w:p>
        </w:tc>
        <w:tc>
          <w:tcPr>
            <w:tcW w:w="1169"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166</w:t>
            </w:r>
          </w:p>
        </w:tc>
        <w:tc>
          <w:tcPr>
            <w:tcW w:w="112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46.5</w:t>
            </w:r>
          </w:p>
        </w:tc>
        <w:tc>
          <w:tcPr>
            <w:tcW w:w="958"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14</w:t>
            </w:r>
          </w:p>
        </w:tc>
        <w:tc>
          <w:tcPr>
            <w:tcW w:w="2202"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护理实训室5</w:t>
            </w:r>
          </w:p>
        </w:tc>
        <w:tc>
          <w:tcPr>
            <w:tcW w:w="1976"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医学与公共服务学院</w:t>
            </w:r>
          </w:p>
        </w:tc>
        <w:tc>
          <w:tcPr>
            <w:tcW w:w="197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护理</w:t>
            </w:r>
          </w:p>
        </w:tc>
        <w:tc>
          <w:tcPr>
            <w:tcW w:w="1169"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150</w:t>
            </w:r>
          </w:p>
        </w:tc>
        <w:tc>
          <w:tcPr>
            <w:tcW w:w="112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33.5</w:t>
            </w:r>
          </w:p>
        </w:tc>
        <w:tc>
          <w:tcPr>
            <w:tcW w:w="958"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15</w:t>
            </w:r>
          </w:p>
        </w:tc>
        <w:tc>
          <w:tcPr>
            <w:tcW w:w="2202"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护理实训室6</w:t>
            </w:r>
          </w:p>
        </w:tc>
        <w:tc>
          <w:tcPr>
            <w:tcW w:w="1976"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医学与公共服务学院</w:t>
            </w:r>
          </w:p>
        </w:tc>
        <w:tc>
          <w:tcPr>
            <w:tcW w:w="197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护理</w:t>
            </w:r>
          </w:p>
        </w:tc>
        <w:tc>
          <w:tcPr>
            <w:tcW w:w="1169"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109.2</w:t>
            </w:r>
          </w:p>
        </w:tc>
        <w:tc>
          <w:tcPr>
            <w:tcW w:w="112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65.6</w:t>
            </w:r>
          </w:p>
        </w:tc>
        <w:tc>
          <w:tcPr>
            <w:tcW w:w="958"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16</w:t>
            </w:r>
          </w:p>
        </w:tc>
        <w:tc>
          <w:tcPr>
            <w:tcW w:w="2202"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护理实训室7</w:t>
            </w:r>
          </w:p>
        </w:tc>
        <w:tc>
          <w:tcPr>
            <w:tcW w:w="1976"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医学与公共服务学院</w:t>
            </w:r>
          </w:p>
        </w:tc>
        <w:tc>
          <w:tcPr>
            <w:tcW w:w="197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护理</w:t>
            </w:r>
          </w:p>
        </w:tc>
        <w:tc>
          <w:tcPr>
            <w:tcW w:w="1169"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110.5</w:t>
            </w:r>
          </w:p>
        </w:tc>
        <w:tc>
          <w:tcPr>
            <w:tcW w:w="112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35.8</w:t>
            </w:r>
          </w:p>
        </w:tc>
        <w:tc>
          <w:tcPr>
            <w:tcW w:w="958"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17</w:t>
            </w:r>
          </w:p>
        </w:tc>
        <w:tc>
          <w:tcPr>
            <w:tcW w:w="2202"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护理实训室8</w:t>
            </w:r>
          </w:p>
        </w:tc>
        <w:tc>
          <w:tcPr>
            <w:tcW w:w="1976"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医学与公共服务学院</w:t>
            </w:r>
          </w:p>
        </w:tc>
        <w:tc>
          <w:tcPr>
            <w:tcW w:w="197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护理</w:t>
            </w:r>
          </w:p>
        </w:tc>
        <w:tc>
          <w:tcPr>
            <w:tcW w:w="1169"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108</w:t>
            </w:r>
          </w:p>
        </w:tc>
        <w:tc>
          <w:tcPr>
            <w:tcW w:w="112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45</w:t>
            </w:r>
          </w:p>
        </w:tc>
        <w:tc>
          <w:tcPr>
            <w:tcW w:w="958"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18</w:t>
            </w:r>
          </w:p>
        </w:tc>
        <w:tc>
          <w:tcPr>
            <w:tcW w:w="2202"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护理实训室9</w:t>
            </w:r>
          </w:p>
        </w:tc>
        <w:tc>
          <w:tcPr>
            <w:tcW w:w="1976"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医学与公共服务学院</w:t>
            </w:r>
          </w:p>
        </w:tc>
        <w:tc>
          <w:tcPr>
            <w:tcW w:w="197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护理</w:t>
            </w:r>
          </w:p>
        </w:tc>
        <w:tc>
          <w:tcPr>
            <w:tcW w:w="1169"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113</w:t>
            </w:r>
          </w:p>
        </w:tc>
        <w:tc>
          <w:tcPr>
            <w:tcW w:w="112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35.88</w:t>
            </w:r>
          </w:p>
        </w:tc>
        <w:tc>
          <w:tcPr>
            <w:tcW w:w="958"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19</w:t>
            </w:r>
          </w:p>
        </w:tc>
        <w:tc>
          <w:tcPr>
            <w:tcW w:w="2202"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护理示教室1/多功能室</w:t>
            </w:r>
          </w:p>
        </w:tc>
        <w:tc>
          <w:tcPr>
            <w:tcW w:w="1976"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医学与公共服务学院</w:t>
            </w:r>
          </w:p>
        </w:tc>
        <w:tc>
          <w:tcPr>
            <w:tcW w:w="197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护理</w:t>
            </w:r>
          </w:p>
        </w:tc>
        <w:tc>
          <w:tcPr>
            <w:tcW w:w="1169"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140.8</w:t>
            </w:r>
          </w:p>
        </w:tc>
        <w:tc>
          <w:tcPr>
            <w:tcW w:w="112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25.5</w:t>
            </w:r>
          </w:p>
        </w:tc>
        <w:tc>
          <w:tcPr>
            <w:tcW w:w="958"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20</w:t>
            </w:r>
          </w:p>
        </w:tc>
        <w:tc>
          <w:tcPr>
            <w:tcW w:w="2202"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护理示教室2</w:t>
            </w:r>
          </w:p>
        </w:tc>
        <w:tc>
          <w:tcPr>
            <w:tcW w:w="1976"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医学与公共服务学院</w:t>
            </w:r>
          </w:p>
        </w:tc>
        <w:tc>
          <w:tcPr>
            <w:tcW w:w="197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护理</w:t>
            </w:r>
          </w:p>
        </w:tc>
        <w:tc>
          <w:tcPr>
            <w:tcW w:w="1169"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134.7</w:t>
            </w:r>
          </w:p>
        </w:tc>
        <w:tc>
          <w:tcPr>
            <w:tcW w:w="112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26.5</w:t>
            </w:r>
          </w:p>
        </w:tc>
        <w:tc>
          <w:tcPr>
            <w:tcW w:w="958"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21</w:t>
            </w:r>
          </w:p>
        </w:tc>
        <w:tc>
          <w:tcPr>
            <w:tcW w:w="2202"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护理示教室3</w:t>
            </w:r>
          </w:p>
        </w:tc>
        <w:tc>
          <w:tcPr>
            <w:tcW w:w="1976"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医学与公共服务学院</w:t>
            </w:r>
          </w:p>
        </w:tc>
        <w:tc>
          <w:tcPr>
            <w:tcW w:w="197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护理</w:t>
            </w:r>
          </w:p>
        </w:tc>
        <w:tc>
          <w:tcPr>
            <w:tcW w:w="1169"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182.1</w:t>
            </w:r>
          </w:p>
        </w:tc>
        <w:tc>
          <w:tcPr>
            <w:tcW w:w="112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29.5</w:t>
            </w:r>
          </w:p>
        </w:tc>
        <w:tc>
          <w:tcPr>
            <w:tcW w:w="958"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vMerge w:val="restar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22</w:t>
            </w:r>
          </w:p>
        </w:tc>
        <w:tc>
          <w:tcPr>
            <w:tcW w:w="2202" w:type="dxa"/>
            <w:vMerge w:val="restar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机电学院机房</w:t>
            </w:r>
          </w:p>
        </w:tc>
        <w:tc>
          <w:tcPr>
            <w:tcW w:w="1976" w:type="dxa"/>
            <w:vMerge w:val="restar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机电工程学院</w:t>
            </w:r>
          </w:p>
        </w:tc>
        <w:tc>
          <w:tcPr>
            <w:tcW w:w="197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工业机器人技术</w:t>
            </w:r>
          </w:p>
        </w:tc>
        <w:tc>
          <w:tcPr>
            <w:tcW w:w="1169" w:type="dxa"/>
            <w:vMerge w:val="restar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81</w:t>
            </w:r>
          </w:p>
        </w:tc>
        <w:tc>
          <w:tcPr>
            <w:tcW w:w="1127" w:type="dxa"/>
            <w:vMerge w:val="restar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78.45</w:t>
            </w:r>
          </w:p>
        </w:tc>
        <w:tc>
          <w:tcPr>
            <w:tcW w:w="958" w:type="dxa"/>
            <w:vMerge w:val="restart"/>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2021</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widowControl/>
              <w:jc w:val="center"/>
              <w:rPr>
                <w:rFonts w:ascii="仿宋" w:hAnsi="仿宋" w:eastAsia="仿宋" w:cs="宋体"/>
                <w:b w:val="0"/>
                <w:bCs w:val="0"/>
                <w:color w:val="000000"/>
                <w:kern w:val="0"/>
                <w:szCs w:val="21"/>
              </w:rPr>
            </w:pPr>
          </w:p>
        </w:tc>
        <w:tc>
          <w:tcPr>
            <w:tcW w:w="2202"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widowControl/>
              <w:jc w:val="center"/>
              <w:rPr>
                <w:rFonts w:ascii="仿宋" w:hAnsi="仿宋" w:eastAsia="仿宋" w:cs="宋体"/>
                <w:color w:val="000000"/>
                <w:kern w:val="0"/>
                <w:szCs w:val="21"/>
              </w:rPr>
            </w:pPr>
          </w:p>
        </w:tc>
        <w:tc>
          <w:tcPr>
            <w:tcW w:w="1976"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widowControl/>
              <w:jc w:val="center"/>
              <w:rPr>
                <w:rFonts w:ascii="仿宋" w:hAnsi="仿宋" w:eastAsia="仿宋" w:cs="宋体"/>
                <w:color w:val="000000"/>
                <w:kern w:val="0"/>
                <w:szCs w:val="21"/>
              </w:rPr>
            </w:pPr>
          </w:p>
        </w:tc>
        <w:tc>
          <w:tcPr>
            <w:tcW w:w="197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机电一体化技术</w:t>
            </w:r>
          </w:p>
        </w:tc>
        <w:tc>
          <w:tcPr>
            <w:tcW w:w="1169"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widowControl/>
              <w:jc w:val="center"/>
              <w:rPr>
                <w:rFonts w:ascii="仿宋" w:hAnsi="仿宋" w:eastAsia="仿宋" w:cs="宋体"/>
                <w:color w:val="000000"/>
                <w:kern w:val="0"/>
                <w:szCs w:val="21"/>
              </w:rPr>
            </w:pPr>
          </w:p>
        </w:tc>
        <w:tc>
          <w:tcPr>
            <w:tcW w:w="1127"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widowControl/>
              <w:jc w:val="center"/>
              <w:rPr>
                <w:rFonts w:ascii="仿宋" w:hAnsi="仿宋" w:eastAsia="仿宋" w:cs="宋体"/>
                <w:color w:val="000000"/>
                <w:kern w:val="0"/>
                <w:szCs w:val="21"/>
              </w:rPr>
            </w:pPr>
          </w:p>
        </w:tc>
        <w:tc>
          <w:tcPr>
            <w:tcW w:w="958"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widowControl/>
              <w:jc w:val="center"/>
              <w:rPr>
                <w:rFonts w:ascii="仿宋" w:hAnsi="仿宋" w:eastAsia="仿宋" w:cs="宋体"/>
                <w:color w:val="000000"/>
                <w:kern w:val="0"/>
                <w:szCs w:val="21"/>
              </w:rPr>
            </w:pP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b w:val="0"/>
                <w:bCs w:val="0"/>
                <w:color w:val="000000"/>
                <w:kern w:val="0"/>
                <w:szCs w:val="21"/>
              </w:rPr>
            </w:pPr>
          </w:p>
        </w:tc>
        <w:tc>
          <w:tcPr>
            <w:tcW w:w="2202"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1976"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197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城市轨道交通运营管理</w:t>
            </w:r>
          </w:p>
        </w:tc>
        <w:tc>
          <w:tcPr>
            <w:tcW w:w="1169"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1127"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958"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widowControl/>
              <w:jc w:val="center"/>
              <w:rPr>
                <w:rFonts w:ascii="仿宋" w:hAnsi="仿宋" w:eastAsia="仿宋" w:cs="宋体"/>
                <w:b w:val="0"/>
                <w:bCs w:val="0"/>
                <w:color w:val="000000"/>
                <w:kern w:val="0"/>
                <w:szCs w:val="21"/>
              </w:rPr>
            </w:pPr>
          </w:p>
        </w:tc>
        <w:tc>
          <w:tcPr>
            <w:tcW w:w="2202"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widowControl/>
              <w:jc w:val="center"/>
              <w:rPr>
                <w:rFonts w:ascii="仿宋" w:hAnsi="仿宋" w:eastAsia="仿宋" w:cs="宋体"/>
                <w:color w:val="000000"/>
                <w:kern w:val="0"/>
                <w:szCs w:val="21"/>
              </w:rPr>
            </w:pPr>
          </w:p>
        </w:tc>
        <w:tc>
          <w:tcPr>
            <w:tcW w:w="1976"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widowControl/>
              <w:jc w:val="center"/>
              <w:rPr>
                <w:rFonts w:ascii="仿宋" w:hAnsi="仿宋" w:eastAsia="仿宋" w:cs="宋体"/>
                <w:color w:val="000000"/>
                <w:kern w:val="0"/>
                <w:szCs w:val="21"/>
              </w:rPr>
            </w:pPr>
          </w:p>
        </w:tc>
        <w:tc>
          <w:tcPr>
            <w:tcW w:w="197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新能源汽车技术</w:t>
            </w:r>
          </w:p>
        </w:tc>
        <w:tc>
          <w:tcPr>
            <w:tcW w:w="1169"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widowControl/>
              <w:jc w:val="center"/>
              <w:rPr>
                <w:rFonts w:ascii="仿宋" w:hAnsi="仿宋" w:eastAsia="仿宋" w:cs="宋体"/>
                <w:color w:val="000000"/>
                <w:kern w:val="0"/>
                <w:szCs w:val="21"/>
              </w:rPr>
            </w:pPr>
          </w:p>
        </w:tc>
        <w:tc>
          <w:tcPr>
            <w:tcW w:w="1127"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widowControl/>
              <w:jc w:val="center"/>
              <w:rPr>
                <w:rFonts w:ascii="仿宋" w:hAnsi="仿宋" w:eastAsia="仿宋" w:cs="宋体"/>
                <w:color w:val="000000"/>
                <w:kern w:val="0"/>
                <w:szCs w:val="21"/>
              </w:rPr>
            </w:pPr>
          </w:p>
        </w:tc>
        <w:tc>
          <w:tcPr>
            <w:tcW w:w="958"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widowControl/>
              <w:jc w:val="center"/>
              <w:rPr>
                <w:rFonts w:ascii="仿宋" w:hAnsi="仿宋" w:eastAsia="仿宋" w:cs="宋体"/>
                <w:color w:val="000000"/>
                <w:kern w:val="0"/>
                <w:szCs w:val="21"/>
              </w:rPr>
            </w:pP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23</w:t>
            </w:r>
          </w:p>
        </w:tc>
        <w:tc>
          <w:tcPr>
            <w:tcW w:w="2202"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游戏设计室</w:t>
            </w:r>
          </w:p>
        </w:tc>
        <w:tc>
          <w:tcPr>
            <w:tcW w:w="1976"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医学与公共服务学院</w:t>
            </w:r>
          </w:p>
        </w:tc>
        <w:tc>
          <w:tcPr>
            <w:tcW w:w="197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婴幼儿托育服务与管理</w:t>
            </w:r>
          </w:p>
        </w:tc>
        <w:tc>
          <w:tcPr>
            <w:tcW w:w="1169"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158</w:t>
            </w:r>
          </w:p>
        </w:tc>
        <w:tc>
          <w:tcPr>
            <w:tcW w:w="112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15.5</w:t>
            </w:r>
          </w:p>
        </w:tc>
        <w:tc>
          <w:tcPr>
            <w:tcW w:w="958"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24</w:t>
            </w:r>
          </w:p>
        </w:tc>
        <w:tc>
          <w:tcPr>
            <w:tcW w:w="2202" w:type="dxa"/>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现代物流电子商务实训中心</w:t>
            </w:r>
          </w:p>
        </w:tc>
        <w:tc>
          <w:tcPr>
            <w:tcW w:w="1976" w:type="dxa"/>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国际商学院</w:t>
            </w:r>
          </w:p>
        </w:tc>
        <w:tc>
          <w:tcPr>
            <w:tcW w:w="197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大数据技术</w:t>
            </w:r>
          </w:p>
        </w:tc>
        <w:tc>
          <w:tcPr>
            <w:tcW w:w="1169" w:type="dxa"/>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2813.46</w:t>
            </w:r>
          </w:p>
        </w:tc>
        <w:tc>
          <w:tcPr>
            <w:tcW w:w="1127" w:type="dxa"/>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2.5</w:t>
            </w:r>
          </w:p>
        </w:tc>
        <w:tc>
          <w:tcPr>
            <w:tcW w:w="958" w:type="dxa"/>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b w:val="0"/>
                <w:bCs w:val="0"/>
                <w:color w:val="000000"/>
                <w:kern w:val="0"/>
                <w:szCs w:val="21"/>
              </w:rPr>
            </w:pPr>
          </w:p>
        </w:tc>
        <w:tc>
          <w:tcPr>
            <w:tcW w:w="2202"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1976"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197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跨境电子商务</w:t>
            </w:r>
          </w:p>
        </w:tc>
        <w:tc>
          <w:tcPr>
            <w:tcW w:w="1169"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1127"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958"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widowControl/>
              <w:jc w:val="center"/>
              <w:rPr>
                <w:rFonts w:ascii="仿宋" w:hAnsi="仿宋" w:eastAsia="仿宋" w:cs="宋体"/>
                <w:b w:val="0"/>
                <w:bCs w:val="0"/>
                <w:color w:val="000000"/>
                <w:kern w:val="0"/>
                <w:szCs w:val="21"/>
              </w:rPr>
            </w:pPr>
          </w:p>
        </w:tc>
        <w:tc>
          <w:tcPr>
            <w:tcW w:w="2202"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widowControl/>
              <w:jc w:val="center"/>
              <w:rPr>
                <w:rFonts w:ascii="仿宋" w:hAnsi="仿宋" w:eastAsia="仿宋" w:cs="宋体"/>
                <w:color w:val="000000"/>
                <w:kern w:val="0"/>
                <w:szCs w:val="21"/>
              </w:rPr>
            </w:pPr>
          </w:p>
        </w:tc>
        <w:tc>
          <w:tcPr>
            <w:tcW w:w="1976"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widowControl/>
              <w:jc w:val="center"/>
              <w:rPr>
                <w:rFonts w:ascii="仿宋" w:hAnsi="仿宋" w:eastAsia="仿宋" w:cs="宋体"/>
                <w:color w:val="000000"/>
                <w:kern w:val="0"/>
                <w:szCs w:val="21"/>
              </w:rPr>
            </w:pPr>
          </w:p>
        </w:tc>
        <w:tc>
          <w:tcPr>
            <w:tcW w:w="197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电子商务</w:t>
            </w:r>
          </w:p>
        </w:tc>
        <w:tc>
          <w:tcPr>
            <w:tcW w:w="1169"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widowControl/>
              <w:jc w:val="center"/>
              <w:rPr>
                <w:rFonts w:ascii="仿宋" w:hAnsi="仿宋" w:eastAsia="仿宋" w:cs="宋体"/>
                <w:color w:val="000000"/>
                <w:kern w:val="0"/>
                <w:szCs w:val="21"/>
              </w:rPr>
            </w:pPr>
          </w:p>
        </w:tc>
        <w:tc>
          <w:tcPr>
            <w:tcW w:w="1127"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widowControl/>
              <w:jc w:val="center"/>
              <w:rPr>
                <w:rFonts w:ascii="仿宋" w:hAnsi="仿宋" w:eastAsia="仿宋" w:cs="宋体"/>
                <w:color w:val="000000"/>
                <w:kern w:val="0"/>
                <w:szCs w:val="21"/>
              </w:rPr>
            </w:pPr>
          </w:p>
        </w:tc>
        <w:tc>
          <w:tcPr>
            <w:tcW w:w="958"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widowControl/>
              <w:jc w:val="center"/>
              <w:rPr>
                <w:rFonts w:ascii="仿宋" w:hAnsi="仿宋" w:eastAsia="仿宋" w:cs="宋体"/>
                <w:color w:val="000000"/>
                <w:kern w:val="0"/>
                <w:szCs w:val="21"/>
              </w:rPr>
            </w:pP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25</w:t>
            </w:r>
          </w:p>
        </w:tc>
        <w:tc>
          <w:tcPr>
            <w:tcW w:w="2202"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琴房1</w:t>
            </w:r>
          </w:p>
        </w:tc>
        <w:tc>
          <w:tcPr>
            <w:tcW w:w="1976"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医学与公共服务学院</w:t>
            </w:r>
          </w:p>
        </w:tc>
        <w:tc>
          <w:tcPr>
            <w:tcW w:w="197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婴幼儿托育服务与管理</w:t>
            </w:r>
          </w:p>
        </w:tc>
        <w:tc>
          <w:tcPr>
            <w:tcW w:w="1169"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12</w:t>
            </w:r>
          </w:p>
        </w:tc>
        <w:tc>
          <w:tcPr>
            <w:tcW w:w="112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5</w:t>
            </w:r>
          </w:p>
        </w:tc>
        <w:tc>
          <w:tcPr>
            <w:tcW w:w="958"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26</w:t>
            </w:r>
          </w:p>
        </w:tc>
        <w:tc>
          <w:tcPr>
            <w:tcW w:w="2202"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琴房2</w:t>
            </w:r>
          </w:p>
        </w:tc>
        <w:tc>
          <w:tcPr>
            <w:tcW w:w="1976"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医学与公共服务学院</w:t>
            </w:r>
          </w:p>
        </w:tc>
        <w:tc>
          <w:tcPr>
            <w:tcW w:w="197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婴幼儿托育服务与管理</w:t>
            </w:r>
          </w:p>
        </w:tc>
        <w:tc>
          <w:tcPr>
            <w:tcW w:w="1169"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12</w:t>
            </w:r>
          </w:p>
        </w:tc>
        <w:tc>
          <w:tcPr>
            <w:tcW w:w="112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5</w:t>
            </w:r>
          </w:p>
        </w:tc>
        <w:tc>
          <w:tcPr>
            <w:tcW w:w="958"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27</w:t>
            </w:r>
          </w:p>
        </w:tc>
        <w:tc>
          <w:tcPr>
            <w:tcW w:w="2202"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琴房3</w:t>
            </w:r>
          </w:p>
        </w:tc>
        <w:tc>
          <w:tcPr>
            <w:tcW w:w="1976"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医学与公共服务学院</w:t>
            </w:r>
          </w:p>
        </w:tc>
        <w:tc>
          <w:tcPr>
            <w:tcW w:w="197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婴幼儿托育服务与管理</w:t>
            </w:r>
          </w:p>
        </w:tc>
        <w:tc>
          <w:tcPr>
            <w:tcW w:w="1169"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12</w:t>
            </w:r>
          </w:p>
        </w:tc>
        <w:tc>
          <w:tcPr>
            <w:tcW w:w="112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5</w:t>
            </w:r>
          </w:p>
        </w:tc>
        <w:tc>
          <w:tcPr>
            <w:tcW w:w="958"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28</w:t>
            </w:r>
          </w:p>
        </w:tc>
        <w:tc>
          <w:tcPr>
            <w:tcW w:w="2202"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舞蹈室1（人文）</w:t>
            </w:r>
          </w:p>
        </w:tc>
        <w:tc>
          <w:tcPr>
            <w:tcW w:w="1976"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人文社会科学学院</w:t>
            </w:r>
          </w:p>
        </w:tc>
        <w:tc>
          <w:tcPr>
            <w:tcW w:w="197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舞蹈表演</w:t>
            </w:r>
          </w:p>
        </w:tc>
        <w:tc>
          <w:tcPr>
            <w:tcW w:w="1169"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226</w:t>
            </w:r>
          </w:p>
        </w:tc>
        <w:tc>
          <w:tcPr>
            <w:tcW w:w="112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12.63</w:t>
            </w:r>
          </w:p>
        </w:tc>
        <w:tc>
          <w:tcPr>
            <w:tcW w:w="958"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2021</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29</w:t>
            </w:r>
          </w:p>
        </w:tc>
        <w:tc>
          <w:tcPr>
            <w:tcW w:w="2202"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舞蹈室2（人文）</w:t>
            </w:r>
          </w:p>
        </w:tc>
        <w:tc>
          <w:tcPr>
            <w:tcW w:w="1976"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人文社会科学学院</w:t>
            </w:r>
          </w:p>
        </w:tc>
        <w:tc>
          <w:tcPr>
            <w:tcW w:w="197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舞蹈表演</w:t>
            </w:r>
          </w:p>
        </w:tc>
        <w:tc>
          <w:tcPr>
            <w:tcW w:w="1169"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97</w:t>
            </w:r>
          </w:p>
        </w:tc>
        <w:tc>
          <w:tcPr>
            <w:tcW w:w="112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12.63</w:t>
            </w:r>
          </w:p>
        </w:tc>
        <w:tc>
          <w:tcPr>
            <w:tcW w:w="958"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2021</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30</w:t>
            </w:r>
          </w:p>
        </w:tc>
        <w:tc>
          <w:tcPr>
            <w:tcW w:w="2202"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舞蹈室（幼托）</w:t>
            </w:r>
          </w:p>
        </w:tc>
        <w:tc>
          <w:tcPr>
            <w:tcW w:w="1976"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医学与公共服务学院</w:t>
            </w:r>
          </w:p>
        </w:tc>
        <w:tc>
          <w:tcPr>
            <w:tcW w:w="197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婴幼儿托育服务与管理</w:t>
            </w:r>
          </w:p>
        </w:tc>
        <w:tc>
          <w:tcPr>
            <w:tcW w:w="1169"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160</w:t>
            </w:r>
          </w:p>
        </w:tc>
        <w:tc>
          <w:tcPr>
            <w:tcW w:w="112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13.5</w:t>
            </w:r>
          </w:p>
        </w:tc>
        <w:tc>
          <w:tcPr>
            <w:tcW w:w="958"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31</w:t>
            </w:r>
          </w:p>
        </w:tc>
        <w:tc>
          <w:tcPr>
            <w:tcW w:w="2202"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bookmarkStart w:id="178" w:name="_Hlk121217736"/>
            <w:r>
              <w:rPr>
                <w:rFonts w:hint="eastAsia" w:ascii="仿宋" w:hAnsi="仿宋" w:eastAsia="仿宋" w:cs="宋体"/>
                <w:color w:val="000000"/>
                <w:kern w:val="0"/>
                <w:szCs w:val="21"/>
              </w:rPr>
              <w:t>舞蹈表演专业实训中心</w:t>
            </w:r>
            <w:bookmarkEnd w:id="178"/>
          </w:p>
        </w:tc>
        <w:tc>
          <w:tcPr>
            <w:tcW w:w="1976"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人文社会科学学院</w:t>
            </w:r>
          </w:p>
        </w:tc>
        <w:tc>
          <w:tcPr>
            <w:tcW w:w="197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舞蹈表演</w:t>
            </w:r>
          </w:p>
        </w:tc>
        <w:tc>
          <w:tcPr>
            <w:tcW w:w="1169"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3755.61</w:t>
            </w:r>
          </w:p>
        </w:tc>
        <w:tc>
          <w:tcPr>
            <w:tcW w:w="112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3.1</w:t>
            </w:r>
          </w:p>
        </w:tc>
        <w:tc>
          <w:tcPr>
            <w:tcW w:w="958"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2021</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32</w:t>
            </w:r>
          </w:p>
        </w:tc>
        <w:tc>
          <w:tcPr>
            <w:tcW w:w="2202"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艺术学院工作室1</w:t>
            </w:r>
          </w:p>
        </w:tc>
        <w:tc>
          <w:tcPr>
            <w:tcW w:w="1976"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艺术与建筑学院</w:t>
            </w:r>
          </w:p>
        </w:tc>
        <w:tc>
          <w:tcPr>
            <w:tcW w:w="197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视觉传达设计</w:t>
            </w:r>
          </w:p>
        </w:tc>
        <w:tc>
          <w:tcPr>
            <w:tcW w:w="1169"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75.6</w:t>
            </w:r>
          </w:p>
        </w:tc>
        <w:tc>
          <w:tcPr>
            <w:tcW w:w="112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17.63</w:t>
            </w:r>
          </w:p>
        </w:tc>
        <w:tc>
          <w:tcPr>
            <w:tcW w:w="958"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2021</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33</w:t>
            </w:r>
          </w:p>
        </w:tc>
        <w:tc>
          <w:tcPr>
            <w:tcW w:w="2202"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艺术学院工作室10</w:t>
            </w:r>
          </w:p>
        </w:tc>
        <w:tc>
          <w:tcPr>
            <w:tcW w:w="1976"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艺术与建筑学院</w:t>
            </w:r>
          </w:p>
        </w:tc>
        <w:tc>
          <w:tcPr>
            <w:tcW w:w="197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公共艺术设计</w:t>
            </w:r>
          </w:p>
        </w:tc>
        <w:tc>
          <w:tcPr>
            <w:tcW w:w="1169"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60.8</w:t>
            </w:r>
          </w:p>
        </w:tc>
        <w:tc>
          <w:tcPr>
            <w:tcW w:w="112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19.3</w:t>
            </w:r>
          </w:p>
        </w:tc>
        <w:tc>
          <w:tcPr>
            <w:tcW w:w="958"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2021</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34</w:t>
            </w:r>
          </w:p>
        </w:tc>
        <w:tc>
          <w:tcPr>
            <w:tcW w:w="2202"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艺术学院工作室2</w:t>
            </w:r>
          </w:p>
        </w:tc>
        <w:tc>
          <w:tcPr>
            <w:tcW w:w="1976"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艺术与建筑学院</w:t>
            </w:r>
          </w:p>
        </w:tc>
        <w:tc>
          <w:tcPr>
            <w:tcW w:w="197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视觉传达设计</w:t>
            </w:r>
          </w:p>
        </w:tc>
        <w:tc>
          <w:tcPr>
            <w:tcW w:w="1169"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70.6</w:t>
            </w:r>
          </w:p>
        </w:tc>
        <w:tc>
          <w:tcPr>
            <w:tcW w:w="112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16.46</w:t>
            </w:r>
          </w:p>
        </w:tc>
        <w:tc>
          <w:tcPr>
            <w:tcW w:w="958"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2021</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35</w:t>
            </w:r>
          </w:p>
        </w:tc>
        <w:tc>
          <w:tcPr>
            <w:tcW w:w="2202"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艺术学院工作室3</w:t>
            </w:r>
          </w:p>
        </w:tc>
        <w:tc>
          <w:tcPr>
            <w:tcW w:w="1976"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艺术与建筑学院</w:t>
            </w:r>
          </w:p>
        </w:tc>
        <w:tc>
          <w:tcPr>
            <w:tcW w:w="197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工程造价</w:t>
            </w:r>
          </w:p>
        </w:tc>
        <w:tc>
          <w:tcPr>
            <w:tcW w:w="1169"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78.1</w:t>
            </w:r>
          </w:p>
        </w:tc>
        <w:tc>
          <w:tcPr>
            <w:tcW w:w="112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18.55</w:t>
            </w:r>
          </w:p>
        </w:tc>
        <w:tc>
          <w:tcPr>
            <w:tcW w:w="958"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2021</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36</w:t>
            </w:r>
          </w:p>
        </w:tc>
        <w:tc>
          <w:tcPr>
            <w:tcW w:w="2202"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艺术学院工作室4</w:t>
            </w:r>
          </w:p>
        </w:tc>
        <w:tc>
          <w:tcPr>
            <w:tcW w:w="1976"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艺术与建筑学院</w:t>
            </w:r>
          </w:p>
        </w:tc>
        <w:tc>
          <w:tcPr>
            <w:tcW w:w="197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工程造价</w:t>
            </w:r>
          </w:p>
        </w:tc>
        <w:tc>
          <w:tcPr>
            <w:tcW w:w="1169"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75.6</w:t>
            </w:r>
          </w:p>
        </w:tc>
        <w:tc>
          <w:tcPr>
            <w:tcW w:w="112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18.25</w:t>
            </w:r>
          </w:p>
        </w:tc>
        <w:tc>
          <w:tcPr>
            <w:tcW w:w="958"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2021</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37</w:t>
            </w:r>
          </w:p>
        </w:tc>
        <w:tc>
          <w:tcPr>
            <w:tcW w:w="2202"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艺术学院工作室5</w:t>
            </w:r>
          </w:p>
        </w:tc>
        <w:tc>
          <w:tcPr>
            <w:tcW w:w="1976"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艺术与建筑学院</w:t>
            </w:r>
          </w:p>
        </w:tc>
        <w:tc>
          <w:tcPr>
            <w:tcW w:w="197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环境艺术设计</w:t>
            </w:r>
          </w:p>
        </w:tc>
        <w:tc>
          <w:tcPr>
            <w:tcW w:w="1169"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71</w:t>
            </w:r>
          </w:p>
        </w:tc>
        <w:tc>
          <w:tcPr>
            <w:tcW w:w="112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22.58</w:t>
            </w:r>
          </w:p>
        </w:tc>
        <w:tc>
          <w:tcPr>
            <w:tcW w:w="958"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2021</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38</w:t>
            </w:r>
          </w:p>
        </w:tc>
        <w:tc>
          <w:tcPr>
            <w:tcW w:w="2202"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bookmarkStart w:id="179" w:name="_Hlk121217900"/>
            <w:r>
              <w:rPr>
                <w:rFonts w:hint="eastAsia" w:ascii="仿宋" w:hAnsi="仿宋" w:eastAsia="仿宋" w:cs="宋体"/>
                <w:color w:val="000000"/>
                <w:kern w:val="0"/>
                <w:szCs w:val="21"/>
              </w:rPr>
              <w:t>艺术学院工作室</w:t>
            </w:r>
            <w:bookmarkEnd w:id="179"/>
            <w:r>
              <w:rPr>
                <w:rFonts w:hint="eastAsia" w:ascii="仿宋" w:hAnsi="仿宋" w:eastAsia="仿宋" w:cs="宋体"/>
                <w:color w:val="000000"/>
                <w:kern w:val="0"/>
                <w:szCs w:val="21"/>
              </w:rPr>
              <w:t>6</w:t>
            </w:r>
          </w:p>
        </w:tc>
        <w:tc>
          <w:tcPr>
            <w:tcW w:w="1976"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艺术与建筑学院</w:t>
            </w:r>
          </w:p>
        </w:tc>
        <w:tc>
          <w:tcPr>
            <w:tcW w:w="197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建筑室内设计</w:t>
            </w:r>
          </w:p>
        </w:tc>
        <w:tc>
          <w:tcPr>
            <w:tcW w:w="1169"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62.8</w:t>
            </w:r>
          </w:p>
        </w:tc>
        <w:tc>
          <w:tcPr>
            <w:tcW w:w="112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14.5</w:t>
            </w:r>
          </w:p>
        </w:tc>
        <w:tc>
          <w:tcPr>
            <w:tcW w:w="958"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2021</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39</w:t>
            </w:r>
          </w:p>
        </w:tc>
        <w:tc>
          <w:tcPr>
            <w:tcW w:w="2202"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艺术学院工作室7</w:t>
            </w:r>
          </w:p>
        </w:tc>
        <w:tc>
          <w:tcPr>
            <w:tcW w:w="1976"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艺术与建筑学院</w:t>
            </w:r>
          </w:p>
        </w:tc>
        <w:tc>
          <w:tcPr>
            <w:tcW w:w="197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建筑室内设计</w:t>
            </w:r>
          </w:p>
        </w:tc>
        <w:tc>
          <w:tcPr>
            <w:tcW w:w="1169"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58.3</w:t>
            </w:r>
          </w:p>
        </w:tc>
        <w:tc>
          <w:tcPr>
            <w:tcW w:w="112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19.6</w:t>
            </w:r>
          </w:p>
        </w:tc>
        <w:tc>
          <w:tcPr>
            <w:tcW w:w="958"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2021</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40</w:t>
            </w:r>
          </w:p>
        </w:tc>
        <w:tc>
          <w:tcPr>
            <w:tcW w:w="2202"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艺术学院工作室8</w:t>
            </w:r>
          </w:p>
        </w:tc>
        <w:tc>
          <w:tcPr>
            <w:tcW w:w="1976"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艺术与建筑学院</w:t>
            </w:r>
          </w:p>
        </w:tc>
        <w:tc>
          <w:tcPr>
            <w:tcW w:w="197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建筑室内设计</w:t>
            </w:r>
          </w:p>
        </w:tc>
        <w:tc>
          <w:tcPr>
            <w:tcW w:w="1169"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63.9</w:t>
            </w:r>
          </w:p>
        </w:tc>
        <w:tc>
          <w:tcPr>
            <w:tcW w:w="112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12.5</w:t>
            </w:r>
          </w:p>
        </w:tc>
        <w:tc>
          <w:tcPr>
            <w:tcW w:w="958"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2021</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41</w:t>
            </w:r>
          </w:p>
        </w:tc>
        <w:tc>
          <w:tcPr>
            <w:tcW w:w="2202"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艺术学院工作室9</w:t>
            </w:r>
          </w:p>
        </w:tc>
        <w:tc>
          <w:tcPr>
            <w:tcW w:w="1976"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艺术与建筑学院</w:t>
            </w:r>
          </w:p>
        </w:tc>
        <w:tc>
          <w:tcPr>
            <w:tcW w:w="197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环境艺术设计</w:t>
            </w:r>
          </w:p>
        </w:tc>
        <w:tc>
          <w:tcPr>
            <w:tcW w:w="1169"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62.7</w:t>
            </w:r>
          </w:p>
        </w:tc>
        <w:tc>
          <w:tcPr>
            <w:tcW w:w="112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14.8</w:t>
            </w:r>
          </w:p>
        </w:tc>
        <w:tc>
          <w:tcPr>
            <w:tcW w:w="958"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2021</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42</w:t>
            </w:r>
          </w:p>
        </w:tc>
        <w:tc>
          <w:tcPr>
            <w:tcW w:w="2202" w:type="dxa"/>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bookmarkStart w:id="180" w:name="_Hlk121217756"/>
            <w:r>
              <w:rPr>
                <w:rFonts w:hint="eastAsia" w:ascii="仿宋" w:hAnsi="仿宋" w:eastAsia="仿宋" w:cs="宋体"/>
                <w:color w:val="000000"/>
                <w:kern w:val="0"/>
                <w:szCs w:val="21"/>
              </w:rPr>
              <w:t>酒店管理与建筑设计综合实训基地</w:t>
            </w:r>
            <w:bookmarkEnd w:id="180"/>
          </w:p>
        </w:tc>
        <w:tc>
          <w:tcPr>
            <w:tcW w:w="1976" w:type="dxa"/>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国际商学院</w:t>
            </w:r>
          </w:p>
        </w:tc>
        <w:tc>
          <w:tcPr>
            <w:tcW w:w="197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酒店管理与数字化运营</w:t>
            </w:r>
          </w:p>
        </w:tc>
        <w:tc>
          <w:tcPr>
            <w:tcW w:w="1169" w:type="dxa"/>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37676.01</w:t>
            </w:r>
          </w:p>
        </w:tc>
        <w:tc>
          <w:tcPr>
            <w:tcW w:w="1127" w:type="dxa"/>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5.6</w:t>
            </w:r>
          </w:p>
        </w:tc>
        <w:tc>
          <w:tcPr>
            <w:tcW w:w="958" w:type="dxa"/>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2022</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b w:val="0"/>
                <w:bCs w:val="0"/>
                <w:color w:val="000000"/>
                <w:kern w:val="0"/>
                <w:szCs w:val="21"/>
              </w:rPr>
            </w:pPr>
          </w:p>
        </w:tc>
        <w:tc>
          <w:tcPr>
            <w:tcW w:w="2202"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1976"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197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建筑设计</w:t>
            </w:r>
          </w:p>
        </w:tc>
        <w:tc>
          <w:tcPr>
            <w:tcW w:w="1169"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1127"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958"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widowControl/>
              <w:jc w:val="center"/>
              <w:rPr>
                <w:rFonts w:ascii="仿宋" w:hAnsi="仿宋" w:eastAsia="仿宋" w:cs="宋体"/>
                <w:b w:val="0"/>
                <w:bCs w:val="0"/>
                <w:color w:val="000000"/>
                <w:kern w:val="0"/>
                <w:szCs w:val="21"/>
              </w:rPr>
            </w:pPr>
          </w:p>
        </w:tc>
        <w:tc>
          <w:tcPr>
            <w:tcW w:w="2202"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widowControl/>
              <w:jc w:val="center"/>
              <w:rPr>
                <w:rFonts w:ascii="仿宋" w:hAnsi="仿宋" w:eastAsia="仿宋" w:cs="宋体"/>
                <w:color w:val="000000"/>
                <w:kern w:val="0"/>
                <w:szCs w:val="21"/>
              </w:rPr>
            </w:pPr>
          </w:p>
        </w:tc>
        <w:tc>
          <w:tcPr>
            <w:tcW w:w="1976"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widowControl/>
              <w:jc w:val="center"/>
              <w:rPr>
                <w:rFonts w:ascii="仿宋" w:hAnsi="仿宋" w:eastAsia="仿宋" w:cs="宋体"/>
                <w:color w:val="000000"/>
                <w:kern w:val="0"/>
                <w:szCs w:val="21"/>
              </w:rPr>
            </w:pPr>
          </w:p>
        </w:tc>
        <w:tc>
          <w:tcPr>
            <w:tcW w:w="197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建筑室内设计</w:t>
            </w:r>
          </w:p>
        </w:tc>
        <w:tc>
          <w:tcPr>
            <w:tcW w:w="1169"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widowControl/>
              <w:jc w:val="center"/>
              <w:rPr>
                <w:rFonts w:ascii="仿宋" w:hAnsi="仿宋" w:eastAsia="仿宋" w:cs="宋体"/>
                <w:color w:val="000000"/>
                <w:kern w:val="0"/>
                <w:szCs w:val="21"/>
              </w:rPr>
            </w:pPr>
          </w:p>
        </w:tc>
        <w:tc>
          <w:tcPr>
            <w:tcW w:w="1127"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widowControl/>
              <w:jc w:val="center"/>
              <w:rPr>
                <w:rFonts w:ascii="仿宋" w:hAnsi="仿宋" w:eastAsia="仿宋" w:cs="宋体"/>
                <w:color w:val="000000"/>
                <w:kern w:val="0"/>
                <w:szCs w:val="21"/>
              </w:rPr>
            </w:pPr>
          </w:p>
        </w:tc>
        <w:tc>
          <w:tcPr>
            <w:tcW w:w="958"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widowControl/>
              <w:jc w:val="center"/>
              <w:rPr>
                <w:rFonts w:ascii="仿宋" w:hAnsi="仿宋" w:eastAsia="仿宋" w:cs="宋体"/>
                <w:color w:val="000000"/>
                <w:kern w:val="0"/>
                <w:szCs w:val="21"/>
              </w:rPr>
            </w:pP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b w:val="0"/>
                <w:bCs w:val="0"/>
                <w:color w:val="000000"/>
                <w:kern w:val="0"/>
                <w:szCs w:val="21"/>
              </w:rPr>
            </w:pPr>
          </w:p>
        </w:tc>
        <w:tc>
          <w:tcPr>
            <w:tcW w:w="2202"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1976"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197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环境艺术设计</w:t>
            </w:r>
          </w:p>
        </w:tc>
        <w:tc>
          <w:tcPr>
            <w:tcW w:w="1169"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1127"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958"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43</w:t>
            </w:r>
          </w:p>
        </w:tc>
        <w:tc>
          <w:tcPr>
            <w:tcW w:w="2202"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酒店管理实习实训基地1</w:t>
            </w:r>
          </w:p>
        </w:tc>
        <w:tc>
          <w:tcPr>
            <w:tcW w:w="1976"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国际商学院</w:t>
            </w:r>
          </w:p>
        </w:tc>
        <w:tc>
          <w:tcPr>
            <w:tcW w:w="197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酒店管理与数字化运营</w:t>
            </w:r>
          </w:p>
        </w:tc>
        <w:tc>
          <w:tcPr>
            <w:tcW w:w="1169"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17888.68</w:t>
            </w:r>
          </w:p>
        </w:tc>
        <w:tc>
          <w:tcPr>
            <w:tcW w:w="112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2.2</w:t>
            </w:r>
          </w:p>
        </w:tc>
        <w:tc>
          <w:tcPr>
            <w:tcW w:w="958"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2022</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44</w:t>
            </w:r>
          </w:p>
        </w:tc>
        <w:tc>
          <w:tcPr>
            <w:tcW w:w="2202"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酒店管理实习实训基地2</w:t>
            </w:r>
          </w:p>
        </w:tc>
        <w:tc>
          <w:tcPr>
            <w:tcW w:w="1976"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国际商学院</w:t>
            </w:r>
          </w:p>
        </w:tc>
        <w:tc>
          <w:tcPr>
            <w:tcW w:w="197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酒店管理与数字化运营</w:t>
            </w:r>
          </w:p>
        </w:tc>
        <w:tc>
          <w:tcPr>
            <w:tcW w:w="1169"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22099.38</w:t>
            </w:r>
          </w:p>
        </w:tc>
        <w:tc>
          <w:tcPr>
            <w:tcW w:w="112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23</w:t>
            </w:r>
          </w:p>
        </w:tc>
        <w:tc>
          <w:tcPr>
            <w:tcW w:w="958"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2022</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45</w:t>
            </w:r>
          </w:p>
        </w:tc>
        <w:tc>
          <w:tcPr>
            <w:tcW w:w="2202"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金融实训基地</w:t>
            </w:r>
          </w:p>
        </w:tc>
        <w:tc>
          <w:tcPr>
            <w:tcW w:w="1976"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国际商学院</w:t>
            </w:r>
          </w:p>
        </w:tc>
        <w:tc>
          <w:tcPr>
            <w:tcW w:w="197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金融科技应用</w:t>
            </w:r>
          </w:p>
        </w:tc>
        <w:tc>
          <w:tcPr>
            <w:tcW w:w="1169"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7483.43</w:t>
            </w:r>
          </w:p>
        </w:tc>
        <w:tc>
          <w:tcPr>
            <w:tcW w:w="112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3</w:t>
            </w:r>
          </w:p>
        </w:tc>
        <w:tc>
          <w:tcPr>
            <w:tcW w:w="958"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2022</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46</w:t>
            </w:r>
          </w:p>
        </w:tc>
        <w:tc>
          <w:tcPr>
            <w:tcW w:w="2202"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音乐室、美工室</w:t>
            </w:r>
          </w:p>
        </w:tc>
        <w:tc>
          <w:tcPr>
            <w:tcW w:w="1976"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医学与公共服务学院</w:t>
            </w:r>
          </w:p>
        </w:tc>
        <w:tc>
          <w:tcPr>
            <w:tcW w:w="197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婴幼儿托育服务与管理</w:t>
            </w:r>
          </w:p>
        </w:tc>
        <w:tc>
          <w:tcPr>
            <w:tcW w:w="1169"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83</w:t>
            </w:r>
          </w:p>
        </w:tc>
        <w:tc>
          <w:tcPr>
            <w:tcW w:w="112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23.68</w:t>
            </w:r>
          </w:p>
        </w:tc>
        <w:tc>
          <w:tcPr>
            <w:tcW w:w="958"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47</w:t>
            </w:r>
          </w:p>
        </w:tc>
        <w:tc>
          <w:tcPr>
            <w:tcW w:w="2202" w:type="dxa"/>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风雨操场</w:t>
            </w:r>
          </w:p>
        </w:tc>
        <w:tc>
          <w:tcPr>
            <w:tcW w:w="1976" w:type="dxa"/>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人文社会科学学院</w:t>
            </w:r>
          </w:p>
        </w:tc>
        <w:tc>
          <w:tcPr>
            <w:tcW w:w="197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舞蹈表演</w:t>
            </w:r>
          </w:p>
        </w:tc>
        <w:tc>
          <w:tcPr>
            <w:tcW w:w="1169" w:type="dxa"/>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1344</w:t>
            </w:r>
          </w:p>
        </w:tc>
        <w:tc>
          <w:tcPr>
            <w:tcW w:w="1127" w:type="dxa"/>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128</w:t>
            </w:r>
          </w:p>
        </w:tc>
        <w:tc>
          <w:tcPr>
            <w:tcW w:w="958" w:type="dxa"/>
            <w:vMerge w:val="restart"/>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2021</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b w:val="0"/>
                <w:bCs w:val="0"/>
                <w:color w:val="000000"/>
                <w:kern w:val="0"/>
                <w:szCs w:val="21"/>
              </w:rPr>
            </w:pPr>
          </w:p>
        </w:tc>
        <w:tc>
          <w:tcPr>
            <w:tcW w:w="2202"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1976"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1977" w:type="dxa"/>
            <w:tcBorders>
              <w:top w:val="single" w:color="4F81BD" w:sz="8" w:space="0"/>
              <w:left w:val="single" w:color="4F81BD" w:sz="8" w:space="0"/>
              <w:bottom w:val="single" w:color="4F81BD" w:sz="8" w:space="0"/>
              <w:right w:val="single" w:color="4F81BD" w:sz="8" w:space="0"/>
            </w:tcBorders>
            <w:shd w:val="clear" w:color="auto" w:fill="B8CCE4"/>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休闲体育</w:t>
            </w:r>
          </w:p>
        </w:tc>
        <w:tc>
          <w:tcPr>
            <w:tcW w:w="1169"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1127"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c>
          <w:tcPr>
            <w:tcW w:w="958" w:type="dxa"/>
            <w:vMerge w:val="continue"/>
            <w:tcBorders>
              <w:top w:val="single" w:color="4F81BD" w:sz="8" w:space="0"/>
              <w:left w:val="single" w:color="4F81BD" w:sz="8" w:space="0"/>
              <w:bottom w:val="single" w:color="4F81BD" w:sz="8" w:space="0"/>
              <w:right w:val="single" w:color="4F81BD" w:sz="8" w:space="0"/>
            </w:tcBorders>
            <w:shd w:val="clear" w:color="auto" w:fill="B8CCE4"/>
            <w:vAlign w:val="center"/>
          </w:tcPr>
          <w:p>
            <w:pPr>
              <w:widowControl/>
              <w:jc w:val="center"/>
              <w:rPr>
                <w:rFonts w:ascii="仿宋" w:hAnsi="仿宋" w:eastAsia="仿宋" w:cs="宋体"/>
                <w:color w:val="000000"/>
                <w:kern w:val="0"/>
                <w:szCs w:val="21"/>
              </w:rPr>
            </w:pP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30" w:hRule="atLeast"/>
        </w:trPr>
        <w:tc>
          <w:tcPr>
            <w:tcW w:w="0" w:type="auto"/>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b w:val="0"/>
                <w:bCs w:val="0"/>
                <w:color w:val="000000"/>
                <w:kern w:val="0"/>
                <w:szCs w:val="21"/>
              </w:rPr>
            </w:pPr>
            <w:r>
              <w:rPr>
                <w:rFonts w:hint="eastAsia" w:ascii="仿宋" w:hAnsi="仿宋" w:eastAsia="仿宋" w:cs="宋体"/>
                <w:b/>
                <w:bCs/>
                <w:color w:val="000000"/>
                <w:kern w:val="0"/>
                <w:szCs w:val="21"/>
              </w:rPr>
              <w:t>48</w:t>
            </w:r>
          </w:p>
        </w:tc>
        <w:tc>
          <w:tcPr>
            <w:tcW w:w="2202"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餐饮实训室</w:t>
            </w:r>
          </w:p>
        </w:tc>
        <w:tc>
          <w:tcPr>
            <w:tcW w:w="1976"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国际商学院</w:t>
            </w:r>
          </w:p>
        </w:tc>
        <w:tc>
          <w:tcPr>
            <w:tcW w:w="197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酒店管理与数字化运营</w:t>
            </w:r>
          </w:p>
        </w:tc>
        <w:tc>
          <w:tcPr>
            <w:tcW w:w="1169"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71</w:t>
            </w:r>
          </w:p>
        </w:tc>
        <w:tc>
          <w:tcPr>
            <w:tcW w:w="1127"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13.8</w:t>
            </w:r>
          </w:p>
        </w:tc>
        <w:tc>
          <w:tcPr>
            <w:tcW w:w="958" w:type="dxa"/>
            <w:tcBorders>
              <w:top w:val="single" w:color="4F81BD" w:sz="8" w:space="0"/>
              <w:left w:val="single" w:color="4F81BD" w:sz="8" w:space="0"/>
              <w:bottom w:val="single" w:color="4F81BD" w:sz="8" w:space="0"/>
              <w:right w:val="single" w:color="4F81BD" w:sz="8" w:space="0"/>
            </w:tcBorders>
            <w:shd w:val="clear" w:color="auto" w:fill="FFFFFF"/>
            <w:noWrap/>
            <w:vAlign w:val="center"/>
          </w:tcPr>
          <w:p>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2021</w:t>
            </w:r>
          </w:p>
        </w:tc>
      </w:tr>
    </w:tbl>
    <w:p>
      <w:pPr>
        <w:pStyle w:val="3"/>
        <w:spacing w:before="0" w:after="0" w:line="360" w:lineRule="auto"/>
        <w:ind w:firstLine="562" w:firstLineChars="200"/>
        <w:rPr>
          <w:rFonts w:ascii="仿宋_GB2312" w:eastAsia="仿宋_GB2312" w:hAnsiTheme="minorEastAsia"/>
          <w:sz w:val="28"/>
          <w:szCs w:val="28"/>
        </w:rPr>
      </w:pPr>
      <w:bookmarkStart w:id="181" w:name="_Toc124087894"/>
      <w:r>
        <w:rPr>
          <w:rFonts w:hint="eastAsia" w:ascii="仿宋_GB2312" w:eastAsia="仿宋_GB2312" w:hAnsiTheme="minorEastAsia"/>
          <w:sz w:val="28"/>
          <w:szCs w:val="28"/>
        </w:rPr>
        <w:t>2.</w:t>
      </w:r>
      <w:r>
        <w:rPr>
          <w:rFonts w:ascii="仿宋_GB2312" w:eastAsia="仿宋_GB2312" w:hAnsiTheme="minorEastAsia"/>
          <w:sz w:val="28"/>
          <w:szCs w:val="28"/>
        </w:rPr>
        <w:t>7</w:t>
      </w:r>
      <w:r>
        <w:rPr>
          <w:rFonts w:hint="eastAsia" w:ascii="仿宋_GB2312" w:eastAsia="仿宋_GB2312" w:hAnsiTheme="minorEastAsia"/>
          <w:sz w:val="28"/>
          <w:szCs w:val="28"/>
        </w:rPr>
        <w:t>教学研究</w:t>
      </w:r>
      <w:bookmarkEnd w:id="181"/>
      <w:r>
        <w:rPr>
          <w:rFonts w:hint="eastAsia" w:ascii="仿宋_GB2312" w:eastAsia="仿宋_GB2312" w:hAnsiTheme="minorEastAsia"/>
          <w:sz w:val="28"/>
          <w:szCs w:val="28"/>
        </w:rPr>
        <w:t xml:space="preserve"> </w:t>
      </w:r>
    </w:p>
    <w:bookmarkEnd w:id="161"/>
    <w:bookmarkEnd w:id="162"/>
    <w:bookmarkEnd w:id="163"/>
    <w:p>
      <w:pPr>
        <w:adjustRightInd w:val="0"/>
        <w:snapToGrid w:val="0"/>
        <w:spacing w:line="360" w:lineRule="auto"/>
        <w:ind w:firstLine="560" w:firstLineChars="200"/>
        <w:rPr>
          <w:rFonts w:ascii="仿宋" w:hAnsi="仿宋" w:eastAsia="仿宋"/>
          <w:sz w:val="28"/>
          <w:szCs w:val="28"/>
        </w:rPr>
      </w:pPr>
      <w:bookmarkStart w:id="182" w:name="_Toc500492307"/>
      <w:bookmarkStart w:id="183" w:name="_Hlk499710638"/>
      <w:r>
        <w:rPr>
          <w:rFonts w:hint="eastAsia" w:ascii="仿宋" w:hAnsi="仿宋" w:eastAsia="仿宋"/>
          <w:sz w:val="28"/>
          <w:szCs w:val="28"/>
        </w:rPr>
        <w:t>学校重视教学研究，特别是基于解决人才培养和教学运行重、难点现实问题的教改研究。本学年确定“</w:t>
      </w:r>
      <w:r>
        <w:rPr>
          <w:rFonts w:ascii="仿宋" w:hAnsi="仿宋" w:eastAsia="仿宋"/>
          <w:sz w:val="28"/>
          <w:szCs w:val="28"/>
        </w:rPr>
        <w:t>基于vue的智能管理及可视化系统的设计与实现</w:t>
      </w:r>
      <w:r>
        <w:rPr>
          <w:rFonts w:hint="eastAsia" w:ascii="仿宋" w:hAnsi="仿宋" w:eastAsia="仿宋"/>
          <w:sz w:val="28"/>
          <w:szCs w:val="28"/>
        </w:rPr>
        <w:t>”、“</w:t>
      </w:r>
      <w:r>
        <w:rPr>
          <w:rFonts w:ascii="仿宋" w:hAnsi="仿宋" w:eastAsia="仿宋"/>
          <w:sz w:val="28"/>
          <w:szCs w:val="28"/>
        </w:rPr>
        <w:t>基于插电式混合动力汽车的二手车技术状态评价研究</w:t>
      </w:r>
      <w:r>
        <w:rPr>
          <w:rFonts w:hint="eastAsia" w:ascii="仿宋" w:hAnsi="仿宋" w:eastAsia="仿宋"/>
          <w:sz w:val="28"/>
          <w:szCs w:val="28"/>
        </w:rPr>
        <w:t>”、“</w:t>
      </w:r>
      <w:r>
        <w:rPr>
          <w:rFonts w:ascii="Calibri" w:hAnsi="Calibri" w:eastAsia="仿宋" w:cs="Calibri"/>
          <w:sz w:val="28"/>
          <w:szCs w:val="28"/>
        </w:rPr>
        <w:t> </w:t>
      </w:r>
      <w:r>
        <w:rPr>
          <w:rFonts w:ascii="仿宋" w:hAnsi="仿宋" w:eastAsia="仿宋"/>
          <w:sz w:val="28"/>
          <w:szCs w:val="28"/>
        </w:rPr>
        <w:t>加强农村商业银行内部审计质量管理的路径研究</w:t>
      </w:r>
      <w:r>
        <w:rPr>
          <w:rFonts w:hint="eastAsia" w:ascii="仿宋" w:hAnsi="仿宋" w:eastAsia="仿宋"/>
          <w:sz w:val="28"/>
          <w:szCs w:val="28"/>
        </w:rPr>
        <w:t>”等18项课题为2021年校级课题立项。江苏省教育科学“十四五”规划2</w:t>
      </w:r>
      <w:r>
        <w:rPr>
          <w:rFonts w:ascii="仿宋" w:hAnsi="仿宋" w:eastAsia="仿宋"/>
          <w:sz w:val="28"/>
          <w:szCs w:val="28"/>
        </w:rPr>
        <w:t>021</w:t>
      </w:r>
      <w:r>
        <w:rPr>
          <w:rFonts w:hint="eastAsia" w:ascii="仿宋" w:hAnsi="仿宋" w:eastAsia="仿宋"/>
          <w:sz w:val="28"/>
          <w:szCs w:val="28"/>
        </w:rPr>
        <w:t>年度课题立项3项，分别为：刘若诗、刘彦华主持的“‘幼有所育’背景下婴幼儿托育专业人才供需现状和专业培养路径研究”、刘攀、袁牧主持的“苏绣在艺术设计与产学结合中的传承与创新研究”、王莹莹主持的“混合式教学模式下高职学生‘个性化学习’研究与实践”。刘峰副教授主持的“‘四史’教育融入高校思政课实践育人机制创新研究”获批江苏省教育厅、江苏省高等教育学会高等教育教改研究项目；本学年该校教改课题课程思政专项研究完成结项。在此前的</w:t>
      </w:r>
      <w:r>
        <w:rPr>
          <w:rFonts w:ascii="仿宋" w:hAnsi="仿宋" w:eastAsia="仿宋"/>
          <w:sz w:val="28"/>
          <w:szCs w:val="28"/>
        </w:rPr>
        <w:t>“基于产教深度融合的移动互联技术软件测试及开发课程建设研究与实</w:t>
      </w:r>
      <w:r>
        <w:rPr>
          <w:rFonts w:hint="eastAsia" w:ascii="仿宋" w:hAnsi="仿宋" w:eastAsia="仿宋"/>
          <w:sz w:val="28"/>
          <w:szCs w:val="28"/>
        </w:rPr>
        <w:t>践”获苏州市教育教学成果一等奖，《以软件技术为核心的新一代信息技术应用型人才培养模式实践与成效》项目荣获江苏省教学成果奖高等教育类二等奖以后，本学年胡玮副研究员所主持的“江苏民办高职院校创新发展研究”项目荣获2021年度江苏省教育研究成果二等奖；李月峰主持的“高职高专1+X证书制度下的课程体系设计改革”获批苏州市社科应用研究精品工程优秀成果三等奖。</w:t>
      </w:r>
    </w:p>
    <w:p>
      <w:pPr>
        <w:adjustRightInd w:val="0"/>
        <w:snapToGrid w:val="0"/>
        <w:spacing w:line="360" w:lineRule="auto"/>
        <w:ind w:firstLine="482" w:firstLineChars="200"/>
        <w:jc w:val="center"/>
        <w:rPr>
          <w:rFonts w:ascii="仿宋_GB2312" w:eastAsia="仿宋_GB2312" w:hAnsiTheme="minorEastAsia"/>
          <w:b/>
          <w:sz w:val="24"/>
          <w:szCs w:val="24"/>
        </w:rPr>
      </w:pPr>
      <w:bookmarkStart w:id="184" w:name="_Hlk121992995"/>
    </w:p>
    <w:p>
      <w:pPr>
        <w:adjustRightInd w:val="0"/>
        <w:snapToGrid w:val="0"/>
        <w:spacing w:line="360" w:lineRule="auto"/>
        <w:ind w:firstLine="482" w:firstLineChars="200"/>
        <w:jc w:val="center"/>
        <w:rPr>
          <w:rFonts w:ascii="仿宋_GB2312" w:eastAsia="仿宋_GB2312" w:hAnsiTheme="minorEastAsia"/>
          <w:b/>
          <w:sz w:val="24"/>
          <w:szCs w:val="24"/>
        </w:rPr>
      </w:pPr>
      <w:bookmarkStart w:id="185" w:name="_Toc124170646"/>
      <w:r>
        <w:rPr>
          <w:rFonts w:hint="eastAsia" w:ascii="仿宋_GB2312" w:eastAsia="仿宋_GB2312" w:hAnsiTheme="minorEastAsia"/>
          <w:b/>
          <w:sz w:val="24"/>
          <w:szCs w:val="24"/>
        </w:rPr>
        <w:t xml:space="preserve">表2. </w:t>
      </w:r>
      <w:r>
        <w:rPr>
          <w:rFonts w:ascii="仿宋_GB2312" w:eastAsia="仿宋_GB2312" w:hAnsiTheme="minorEastAsia"/>
          <w:b/>
          <w:sz w:val="24"/>
          <w:szCs w:val="24"/>
        </w:rPr>
        <w:fldChar w:fldCharType="begin"/>
      </w:r>
      <w:r>
        <w:rPr>
          <w:rFonts w:ascii="仿宋_GB2312" w:eastAsia="仿宋_GB2312" w:hAnsiTheme="minorEastAsia"/>
          <w:b/>
          <w:sz w:val="24"/>
          <w:szCs w:val="24"/>
        </w:rPr>
        <w:instrText xml:space="preserve"> </w:instrText>
      </w:r>
      <w:r>
        <w:rPr>
          <w:rFonts w:hint="eastAsia" w:ascii="仿宋_GB2312" w:eastAsia="仿宋_GB2312" w:hAnsiTheme="minorEastAsia"/>
          <w:b/>
          <w:sz w:val="24"/>
          <w:szCs w:val="24"/>
        </w:rPr>
        <w:instrText xml:space="preserve">SEQ 表2. \* ARABIC</w:instrText>
      </w:r>
      <w:r>
        <w:rPr>
          <w:rFonts w:ascii="仿宋_GB2312" w:eastAsia="仿宋_GB2312" w:hAnsiTheme="minorEastAsia"/>
          <w:b/>
          <w:sz w:val="24"/>
          <w:szCs w:val="24"/>
        </w:rPr>
        <w:instrText xml:space="preserve"> </w:instrText>
      </w:r>
      <w:r>
        <w:rPr>
          <w:rFonts w:ascii="仿宋_GB2312" w:eastAsia="仿宋_GB2312" w:hAnsiTheme="minorEastAsia"/>
          <w:b/>
          <w:sz w:val="24"/>
          <w:szCs w:val="24"/>
        </w:rPr>
        <w:fldChar w:fldCharType="separate"/>
      </w:r>
      <w:r>
        <w:rPr>
          <w:rFonts w:ascii="仿宋_GB2312" w:eastAsia="仿宋_GB2312" w:hAnsiTheme="minorEastAsia"/>
          <w:b/>
          <w:sz w:val="24"/>
          <w:szCs w:val="24"/>
        </w:rPr>
        <w:t>5</w:t>
      </w:r>
      <w:r>
        <w:rPr>
          <w:rFonts w:ascii="仿宋_GB2312" w:eastAsia="仿宋_GB2312" w:hAnsiTheme="minorEastAsia"/>
          <w:b/>
          <w:sz w:val="24"/>
          <w:szCs w:val="24"/>
        </w:rPr>
        <w:fldChar w:fldCharType="end"/>
      </w:r>
      <w:r>
        <w:rPr>
          <w:rFonts w:ascii="仿宋_GB2312" w:eastAsia="仿宋_GB2312" w:hAnsiTheme="minorEastAsia"/>
          <w:b/>
          <w:sz w:val="24"/>
          <w:szCs w:val="24"/>
        </w:rPr>
        <w:t xml:space="preserve"> 2021-2022</w:t>
      </w:r>
      <w:r>
        <w:rPr>
          <w:rFonts w:hint="eastAsia" w:ascii="仿宋_GB2312" w:eastAsia="仿宋_GB2312" w:hAnsiTheme="minorEastAsia"/>
          <w:b/>
          <w:sz w:val="24"/>
          <w:szCs w:val="24"/>
        </w:rPr>
        <w:t>学年省、市级质量工程</w:t>
      </w:r>
      <w:bookmarkEnd w:id="185"/>
    </w:p>
    <w:bookmarkEnd w:id="184"/>
    <w:tbl>
      <w:tblPr>
        <w:tblStyle w:val="62"/>
        <w:tblW w:w="9640" w:type="dxa"/>
        <w:tblInd w:w="0" w:type="dxa"/>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Layout w:type="autofit"/>
        <w:tblCellMar>
          <w:top w:w="0" w:type="dxa"/>
          <w:left w:w="108" w:type="dxa"/>
          <w:bottom w:w="0" w:type="dxa"/>
          <w:right w:w="108" w:type="dxa"/>
        </w:tblCellMar>
      </w:tblPr>
      <w:tblGrid>
        <w:gridCol w:w="568"/>
        <w:gridCol w:w="709"/>
        <w:gridCol w:w="1276"/>
        <w:gridCol w:w="7087"/>
      </w:tblGrid>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trPr>
        <w:tc>
          <w:tcPr>
            <w:tcW w:w="568" w:type="dxa"/>
            <w:tcBorders>
              <w:top w:val="single" w:color="CCE8CF" w:themeColor="background1" w:sz="4" w:space="0"/>
              <w:left w:val="single" w:color="CCE8CF" w:themeColor="background1" w:sz="4" w:space="0"/>
              <w:right w:val="nil"/>
              <w:insideV w:val="nil"/>
            </w:tcBorders>
            <w:shd w:val="clear" w:color="auto" w:fill="5B9BD5" w:themeFill="accent5"/>
            <w:vAlign w:val="center"/>
          </w:tcPr>
          <w:p>
            <w:pPr>
              <w:jc w:val="center"/>
              <w:rPr>
                <w:rFonts w:ascii="仿宋" w:hAnsi="仿宋" w:eastAsia="仿宋"/>
                <w:b/>
                <w:bCs/>
                <w:color w:val="CCE8CF" w:themeColor="background1"/>
                <w:kern w:val="0"/>
                <w:sz w:val="24"/>
                <w:szCs w:val="24"/>
              </w:rPr>
            </w:pPr>
            <w:r>
              <w:rPr>
                <w:rFonts w:hint="eastAsia" w:ascii="仿宋" w:hAnsi="仿宋" w:eastAsia="仿宋"/>
                <w:b/>
                <w:bCs/>
                <w:color w:val="CCE8CF" w:themeColor="background1"/>
                <w:kern w:val="0"/>
                <w:sz w:val="24"/>
                <w:szCs w:val="24"/>
              </w:rPr>
              <w:t>序号</w:t>
            </w:r>
          </w:p>
        </w:tc>
        <w:tc>
          <w:tcPr>
            <w:tcW w:w="709" w:type="dxa"/>
            <w:tcBorders>
              <w:top w:val="single" w:color="CCE8CF" w:themeColor="background1" w:sz="4" w:space="0"/>
              <w:right w:val="nil"/>
              <w:insideV w:val="nil"/>
            </w:tcBorders>
            <w:shd w:val="clear" w:color="auto" w:fill="5B9BD5" w:themeFill="accent5"/>
            <w:vAlign w:val="center"/>
          </w:tcPr>
          <w:p>
            <w:pPr>
              <w:jc w:val="center"/>
              <w:rPr>
                <w:rFonts w:ascii="仿宋" w:hAnsi="仿宋" w:eastAsia="仿宋"/>
                <w:b/>
                <w:bCs/>
                <w:color w:val="CCE8CF" w:themeColor="background1"/>
                <w:kern w:val="0"/>
                <w:sz w:val="24"/>
                <w:szCs w:val="24"/>
              </w:rPr>
            </w:pPr>
            <w:r>
              <w:rPr>
                <w:rFonts w:hint="eastAsia" w:ascii="仿宋" w:hAnsi="仿宋" w:eastAsia="仿宋"/>
                <w:b/>
                <w:bCs/>
                <w:color w:val="CCE8CF" w:themeColor="background1"/>
                <w:kern w:val="0"/>
                <w:sz w:val="24"/>
                <w:szCs w:val="24"/>
              </w:rPr>
              <w:t>级别</w:t>
            </w:r>
          </w:p>
        </w:tc>
        <w:tc>
          <w:tcPr>
            <w:tcW w:w="1276" w:type="dxa"/>
            <w:tcBorders>
              <w:top w:val="single" w:color="CCE8CF" w:themeColor="background1" w:sz="4" w:space="0"/>
              <w:right w:val="nil"/>
              <w:insideV w:val="nil"/>
            </w:tcBorders>
            <w:shd w:val="clear" w:color="auto" w:fill="5B9BD5" w:themeFill="accent5"/>
            <w:vAlign w:val="center"/>
          </w:tcPr>
          <w:p>
            <w:pPr>
              <w:jc w:val="center"/>
              <w:rPr>
                <w:rFonts w:ascii="仿宋" w:hAnsi="仿宋" w:eastAsia="仿宋"/>
                <w:b/>
                <w:bCs/>
                <w:color w:val="CCE8CF" w:themeColor="background1"/>
                <w:kern w:val="0"/>
                <w:sz w:val="24"/>
                <w:szCs w:val="24"/>
              </w:rPr>
            </w:pPr>
            <w:r>
              <w:rPr>
                <w:rFonts w:hint="eastAsia" w:ascii="仿宋" w:hAnsi="仿宋" w:eastAsia="仿宋"/>
                <w:b/>
                <w:bCs/>
                <w:color w:val="CCE8CF" w:themeColor="background1"/>
                <w:kern w:val="0"/>
                <w:sz w:val="24"/>
                <w:szCs w:val="24"/>
              </w:rPr>
              <w:t>项目类别</w:t>
            </w:r>
          </w:p>
        </w:tc>
        <w:tc>
          <w:tcPr>
            <w:tcW w:w="7087" w:type="dxa"/>
            <w:tcBorders>
              <w:top w:val="single" w:color="CCE8CF" w:themeColor="background1" w:sz="4" w:space="0"/>
              <w:right w:val="single" w:color="CCE8CF" w:themeColor="background1" w:sz="4" w:space="0"/>
              <w:insideV w:val="nil"/>
            </w:tcBorders>
            <w:shd w:val="clear" w:color="auto" w:fill="5B9BD5" w:themeFill="accent5"/>
            <w:vAlign w:val="center"/>
          </w:tcPr>
          <w:p>
            <w:pPr>
              <w:jc w:val="center"/>
              <w:rPr>
                <w:rFonts w:ascii="仿宋" w:hAnsi="仿宋" w:eastAsia="仿宋"/>
                <w:b/>
                <w:bCs/>
                <w:color w:val="CCE8CF" w:themeColor="background1"/>
                <w:kern w:val="0"/>
                <w:sz w:val="24"/>
                <w:szCs w:val="24"/>
              </w:rPr>
            </w:pPr>
            <w:r>
              <w:rPr>
                <w:rFonts w:hint="eastAsia" w:ascii="仿宋" w:hAnsi="仿宋" w:eastAsia="仿宋"/>
                <w:b/>
                <w:bCs/>
                <w:color w:val="CCE8CF" w:themeColor="background1"/>
                <w:kern w:val="0"/>
                <w:sz w:val="24"/>
                <w:szCs w:val="24"/>
              </w:rPr>
              <w:t>项目名称</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trPr>
        <w:tc>
          <w:tcPr>
            <w:tcW w:w="568" w:type="dxa"/>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1</w:t>
            </w:r>
          </w:p>
        </w:tc>
        <w:tc>
          <w:tcPr>
            <w:tcW w:w="709" w:type="dxa"/>
            <w:shd w:val="clear" w:color="auto" w:fill="BDD6EE" w:themeFill="accent5" w:themeFillTint="66"/>
            <w:vAlign w:val="center"/>
          </w:tcPr>
          <w:p>
            <w:pPr>
              <w:jc w:val="center"/>
              <w:rPr>
                <w:rFonts w:ascii="仿宋" w:hAnsi="仿宋" w:eastAsia="仿宋"/>
                <w:color w:val="000000"/>
                <w:kern w:val="0"/>
                <w:sz w:val="24"/>
                <w:szCs w:val="24"/>
              </w:rPr>
            </w:pPr>
            <w:r>
              <w:rPr>
                <w:rFonts w:hint="eastAsia" w:ascii="仿宋" w:hAnsi="仿宋" w:eastAsia="仿宋"/>
                <w:color w:val="000000"/>
                <w:kern w:val="0"/>
                <w:sz w:val="24"/>
                <w:szCs w:val="24"/>
              </w:rPr>
              <w:t>省级</w:t>
            </w:r>
          </w:p>
        </w:tc>
        <w:tc>
          <w:tcPr>
            <w:tcW w:w="1276" w:type="dxa"/>
            <w:shd w:val="clear" w:color="auto" w:fill="BDD6EE" w:themeFill="accent5" w:themeFillTint="66"/>
            <w:vAlign w:val="center"/>
          </w:tcPr>
          <w:p>
            <w:pPr>
              <w:jc w:val="center"/>
              <w:rPr>
                <w:rFonts w:ascii="仿宋" w:hAnsi="仿宋" w:eastAsia="仿宋"/>
                <w:color w:val="000000"/>
                <w:kern w:val="0"/>
                <w:sz w:val="24"/>
                <w:szCs w:val="24"/>
              </w:rPr>
            </w:pPr>
            <w:r>
              <w:rPr>
                <w:rFonts w:hint="eastAsia" w:ascii="仿宋" w:hAnsi="仿宋" w:eastAsia="仿宋"/>
                <w:color w:val="000000"/>
                <w:kern w:val="0"/>
                <w:sz w:val="24"/>
                <w:szCs w:val="24"/>
              </w:rPr>
              <w:t>师资建设</w:t>
            </w:r>
          </w:p>
        </w:tc>
        <w:tc>
          <w:tcPr>
            <w:tcW w:w="7087" w:type="dxa"/>
            <w:shd w:val="clear" w:color="auto" w:fill="BDD6EE" w:themeFill="accent5" w:themeFillTint="66"/>
            <w:vAlign w:val="center"/>
          </w:tcPr>
          <w:p>
            <w:pPr>
              <w:rPr>
                <w:rFonts w:ascii="仿宋" w:hAnsi="仿宋" w:eastAsia="仿宋"/>
                <w:color w:val="000000"/>
                <w:kern w:val="0"/>
                <w:sz w:val="24"/>
                <w:szCs w:val="24"/>
              </w:rPr>
            </w:pPr>
            <w:r>
              <w:rPr>
                <w:rFonts w:hint="eastAsia" w:ascii="仿宋" w:hAnsi="仿宋" w:eastAsia="仿宋"/>
                <w:color w:val="000000"/>
                <w:kern w:val="0"/>
                <w:sz w:val="24"/>
                <w:szCs w:val="24"/>
              </w:rPr>
              <w:t>江苏省职业教育“双师型”名师工作室：软件技术“双师型”名师工作室</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trPr>
        <w:tc>
          <w:tcPr>
            <w:tcW w:w="568" w:type="dxa"/>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2</w:t>
            </w:r>
          </w:p>
        </w:tc>
        <w:tc>
          <w:tcPr>
            <w:tcW w:w="709" w:type="dxa"/>
            <w:shd w:val="clear" w:color="auto" w:fill="DEEAF6" w:themeFill="accent5" w:themeFillTint="33"/>
            <w:vAlign w:val="center"/>
          </w:tcPr>
          <w:p>
            <w:pPr>
              <w:jc w:val="center"/>
              <w:rPr>
                <w:rFonts w:ascii="仿宋" w:hAnsi="仿宋" w:eastAsia="仿宋"/>
                <w:color w:val="000000"/>
                <w:kern w:val="0"/>
                <w:sz w:val="24"/>
                <w:szCs w:val="24"/>
              </w:rPr>
            </w:pPr>
            <w:r>
              <w:rPr>
                <w:rFonts w:hint="eastAsia" w:ascii="仿宋" w:hAnsi="仿宋" w:eastAsia="仿宋"/>
                <w:color w:val="000000"/>
                <w:kern w:val="0"/>
                <w:sz w:val="24"/>
                <w:szCs w:val="24"/>
              </w:rPr>
              <w:t>省级</w:t>
            </w:r>
          </w:p>
        </w:tc>
        <w:tc>
          <w:tcPr>
            <w:tcW w:w="1276" w:type="dxa"/>
            <w:shd w:val="clear" w:color="auto" w:fill="DEEAF6" w:themeFill="accent5" w:themeFillTint="33"/>
            <w:vAlign w:val="center"/>
          </w:tcPr>
          <w:p>
            <w:pPr>
              <w:jc w:val="center"/>
              <w:rPr>
                <w:rFonts w:ascii="仿宋" w:hAnsi="仿宋" w:eastAsia="仿宋"/>
                <w:color w:val="000000"/>
                <w:kern w:val="0"/>
                <w:sz w:val="24"/>
                <w:szCs w:val="24"/>
              </w:rPr>
            </w:pPr>
            <w:r>
              <w:rPr>
                <w:rFonts w:hint="eastAsia" w:ascii="仿宋" w:hAnsi="仿宋" w:eastAsia="仿宋"/>
                <w:color w:val="000000"/>
                <w:kern w:val="0"/>
                <w:sz w:val="24"/>
                <w:szCs w:val="24"/>
              </w:rPr>
              <w:t>师资建设</w:t>
            </w:r>
          </w:p>
        </w:tc>
        <w:tc>
          <w:tcPr>
            <w:tcW w:w="7087" w:type="dxa"/>
            <w:shd w:val="clear" w:color="auto" w:fill="DEEAF6" w:themeFill="accent5" w:themeFillTint="33"/>
            <w:vAlign w:val="center"/>
          </w:tcPr>
          <w:p>
            <w:pPr>
              <w:rPr>
                <w:rFonts w:ascii="仿宋" w:hAnsi="仿宋" w:eastAsia="仿宋"/>
                <w:color w:val="000000"/>
                <w:kern w:val="0"/>
                <w:sz w:val="24"/>
                <w:szCs w:val="24"/>
              </w:rPr>
            </w:pPr>
            <w:r>
              <w:rPr>
                <w:rFonts w:hint="eastAsia" w:ascii="仿宋" w:hAnsi="仿宋" w:eastAsia="仿宋"/>
                <w:color w:val="000000"/>
                <w:kern w:val="0"/>
                <w:sz w:val="24"/>
                <w:szCs w:val="24"/>
              </w:rPr>
              <w:t>2022年江苏省“青蓝工程”优秀青年骨干教师培养对象2人</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trPr>
        <w:tc>
          <w:tcPr>
            <w:tcW w:w="568" w:type="dxa"/>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3</w:t>
            </w:r>
          </w:p>
        </w:tc>
        <w:tc>
          <w:tcPr>
            <w:tcW w:w="709" w:type="dxa"/>
            <w:shd w:val="clear" w:color="auto" w:fill="BDD6EE" w:themeFill="accent5" w:themeFillTint="66"/>
            <w:vAlign w:val="center"/>
          </w:tcPr>
          <w:p>
            <w:pPr>
              <w:jc w:val="center"/>
              <w:rPr>
                <w:rFonts w:ascii="仿宋" w:hAnsi="仿宋" w:eastAsia="仿宋"/>
                <w:color w:val="000000"/>
                <w:kern w:val="0"/>
                <w:sz w:val="24"/>
                <w:szCs w:val="24"/>
              </w:rPr>
            </w:pPr>
            <w:r>
              <w:rPr>
                <w:rFonts w:hint="eastAsia" w:ascii="仿宋" w:hAnsi="仿宋" w:eastAsia="仿宋"/>
                <w:color w:val="000000"/>
                <w:kern w:val="0"/>
                <w:sz w:val="24"/>
                <w:szCs w:val="24"/>
              </w:rPr>
              <w:t>省级</w:t>
            </w:r>
          </w:p>
        </w:tc>
        <w:tc>
          <w:tcPr>
            <w:tcW w:w="1276" w:type="dxa"/>
            <w:shd w:val="clear" w:color="auto" w:fill="BDD6EE" w:themeFill="accent5" w:themeFillTint="66"/>
            <w:vAlign w:val="center"/>
          </w:tcPr>
          <w:p>
            <w:pPr>
              <w:jc w:val="center"/>
              <w:rPr>
                <w:rFonts w:ascii="仿宋" w:hAnsi="仿宋" w:eastAsia="仿宋"/>
                <w:color w:val="000000"/>
                <w:kern w:val="0"/>
                <w:sz w:val="24"/>
                <w:szCs w:val="24"/>
              </w:rPr>
            </w:pPr>
            <w:r>
              <w:rPr>
                <w:rFonts w:hint="eastAsia" w:ascii="仿宋" w:hAnsi="仿宋" w:eastAsia="仿宋"/>
                <w:color w:val="000000"/>
                <w:kern w:val="0"/>
                <w:sz w:val="24"/>
                <w:szCs w:val="24"/>
              </w:rPr>
              <w:t>教学比赛</w:t>
            </w:r>
          </w:p>
        </w:tc>
        <w:tc>
          <w:tcPr>
            <w:tcW w:w="7087" w:type="dxa"/>
            <w:shd w:val="clear" w:color="auto" w:fill="BDD6EE" w:themeFill="accent5" w:themeFillTint="66"/>
            <w:vAlign w:val="center"/>
          </w:tcPr>
          <w:p>
            <w:pPr>
              <w:rPr>
                <w:rFonts w:ascii="仿宋" w:hAnsi="仿宋" w:eastAsia="仿宋"/>
                <w:color w:val="000000"/>
                <w:kern w:val="0"/>
                <w:sz w:val="24"/>
                <w:szCs w:val="24"/>
              </w:rPr>
            </w:pPr>
            <w:r>
              <w:rPr>
                <w:rFonts w:hint="eastAsia" w:ascii="仿宋" w:hAnsi="仿宋" w:eastAsia="仿宋"/>
                <w:color w:val="000000"/>
                <w:kern w:val="0"/>
                <w:sz w:val="24"/>
                <w:szCs w:val="24"/>
              </w:rPr>
              <w:t>2022年江苏省职业院校教学大赛（高职组）三等奖4项</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trPr>
        <w:tc>
          <w:tcPr>
            <w:tcW w:w="568" w:type="dxa"/>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4</w:t>
            </w:r>
          </w:p>
        </w:tc>
        <w:tc>
          <w:tcPr>
            <w:tcW w:w="709" w:type="dxa"/>
            <w:shd w:val="clear" w:color="auto" w:fill="DEEAF6" w:themeFill="accent5" w:themeFillTint="33"/>
            <w:vAlign w:val="center"/>
          </w:tcPr>
          <w:p>
            <w:pPr>
              <w:jc w:val="center"/>
              <w:rPr>
                <w:rFonts w:ascii="仿宋" w:hAnsi="仿宋" w:eastAsia="仿宋"/>
                <w:color w:val="000000"/>
                <w:kern w:val="0"/>
                <w:sz w:val="24"/>
                <w:szCs w:val="24"/>
              </w:rPr>
            </w:pPr>
            <w:r>
              <w:rPr>
                <w:rFonts w:hint="eastAsia" w:ascii="仿宋" w:hAnsi="仿宋" w:eastAsia="仿宋"/>
                <w:color w:val="000000"/>
                <w:kern w:val="0"/>
                <w:sz w:val="24"/>
                <w:szCs w:val="24"/>
              </w:rPr>
              <w:t>省级</w:t>
            </w:r>
          </w:p>
        </w:tc>
        <w:tc>
          <w:tcPr>
            <w:tcW w:w="1276" w:type="dxa"/>
            <w:shd w:val="clear" w:color="auto" w:fill="DEEAF6" w:themeFill="accent5" w:themeFillTint="33"/>
            <w:vAlign w:val="center"/>
          </w:tcPr>
          <w:p>
            <w:pPr>
              <w:jc w:val="center"/>
              <w:rPr>
                <w:rFonts w:ascii="仿宋" w:hAnsi="仿宋" w:eastAsia="仿宋"/>
                <w:color w:val="000000"/>
                <w:kern w:val="0"/>
                <w:sz w:val="24"/>
                <w:szCs w:val="24"/>
              </w:rPr>
            </w:pPr>
            <w:r>
              <w:rPr>
                <w:rFonts w:hint="eastAsia" w:ascii="仿宋" w:hAnsi="仿宋" w:eastAsia="仿宋"/>
                <w:color w:val="000000"/>
                <w:kern w:val="0"/>
                <w:sz w:val="24"/>
                <w:szCs w:val="24"/>
              </w:rPr>
              <w:t>技能竞赛</w:t>
            </w:r>
          </w:p>
        </w:tc>
        <w:tc>
          <w:tcPr>
            <w:tcW w:w="7087" w:type="dxa"/>
            <w:shd w:val="clear" w:color="auto" w:fill="DEEAF6" w:themeFill="accent5" w:themeFillTint="33"/>
            <w:vAlign w:val="center"/>
          </w:tcPr>
          <w:p>
            <w:pPr>
              <w:rPr>
                <w:rFonts w:ascii="仿宋" w:hAnsi="仿宋" w:eastAsia="仿宋"/>
                <w:color w:val="000000"/>
                <w:kern w:val="0"/>
                <w:sz w:val="24"/>
                <w:szCs w:val="24"/>
              </w:rPr>
            </w:pPr>
            <w:r>
              <w:rPr>
                <w:rFonts w:hint="eastAsia" w:ascii="仿宋" w:hAnsi="仿宋" w:eastAsia="仿宋"/>
                <w:color w:val="000000"/>
                <w:kern w:val="0"/>
                <w:sz w:val="24"/>
                <w:szCs w:val="24"/>
              </w:rPr>
              <w:t>2021年江苏省高职院校技能大赛二等奖2项、三等奖5项</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trPr>
        <w:tc>
          <w:tcPr>
            <w:tcW w:w="568" w:type="dxa"/>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5</w:t>
            </w:r>
          </w:p>
        </w:tc>
        <w:tc>
          <w:tcPr>
            <w:tcW w:w="709" w:type="dxa"/>
            <w:shd w:val="clear" w:color="auto" w:fill="BDD6EE" w:themeFill="accent5" w:themeFillTint="66"/>
            <w:vAlign w:val="center"/>
          </w:tcPr>
          <w:p>
            <w:pPr>
              <w:jc w:val="center"/>
              <w:rPr>
                <w:rFonts w:ascii="仿宋" w:hAnsi="仿宋" w:eastAsia="仿宋"/>
                <w:color w:val="000000"/>
                <w:kern w:val="0"/>
                <w:sz w:val="24"/>
                <w:szCs w:val="24"/>
              </w:rPr>
            </w:pPr>
            <w:r>
              <w:rPr>
                <w:rFonts w:hint="eastAsia" w:ascii="仿宋" w:hAnsi="仿宋" w:eastAsia="仿宋"/>
                <w:color w:val="000000"/>
                <w:kern w:val="0"/>
                <w:sz w:val="24"/>
                <w:szCs w:val="24"/>
              </w:rPr>
              <w:t>省级</w:t>
            </w:r>
          </w:p>
        </w:tc>
        <w:tc>
          <w:tcPr>
            <w:tcW w:w="1276" w:type="dxa"/>
            <w:shd w:val="clear" w:color="auto" w:fill="BDD6EE" w:themeFill="accent5" w:themeFillTint="66"/>
            <w:vAlign w:val="center"/>
          </w:tcPr>
          <w:p>
            <w:pPr>
              <w:jc w:val="center"/>
              <w:rPr>
                <w:rFonts w:ascii="仿宋" w:hAnsi="仿宋" w:eastAsia="仿宋"/>
                <w:color w:val="000000"/>
                <w:kern w:val="0"/>
                <w:sz w:val="24"/>
                <w:szCs w:val="24"/>
              </w:rPr>
            </w:pPr>
            <w:r>
              <w:rPr>
                <w:rFonts w:hint="eastAsia" w:ascii="仿宋" w:hAnsi="仿宋" w:eastAsia="仿宋"/>
                <w:color w:val="000000"/>
                <w:kern w:val="0"/>
                <w:sz w:val="24"/>
                <w:szCs w:val="24"/>
              </w:rPr>
              <w:t>教学成果</w:t>
            </w:r>
          </w:p>
        </w:tc>
        <w:tc>
          <w:tcPr>
            <w:tcW w:w="7087" w:type="dxa"/>
            <w:shd w:val="clear" w:color="auto" w:fill="BDD6EE" w:themeFill="accent5" w:themeFillTint="66"/>
            <w:vAlign w:val="center"/>
          </w:tcPr>
          <w:p>
            <w:pPr>
              <w:rPr>
                <w:rFonts w:ascii="仿宋" w:hAnsi="仿宋" w:eastAsia="仿宋"/>
                <w:color w:val="000000"/>
                <w:kern w:val="0"/>
                <w:sz w:val="24"/>
                <w:szCs w:val="24"/>
              </w:rPr>
            </w:pPr>
            <w:r>
              <w:rPr>
                <w:rFonts w:hint="eastAsia" w:ascii="仿宋" w:hAnsi="仿宋" w:eastAsia="仿宋"/>
                <w:color w:val="000000"/>
                <w:kern w:val="0"/>
                <w:sz w:val="24"/>
                <w:szCs w:val="24"/>
              </w:rPr>
              <w:t>2021年江苏省教育研究成果奖二等奖1项</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trPr>
        <w:tc>
          <w:tcPr>
            <w:tcW w:w="568" w:type="dxa"/>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6</w:t>
            </w:r>
          </w:p>
        </w:tc>
        <w:tc>
          <w:tcPr>
            <w:tcW w:w="709" w:type="dxa"/>
            <w:shd w:val="clear" w:color="auto" w:fill="DEEAF6" w:themeFill="accent5" w:themeFillTint="33"/>
            <w:vAlign w:val="center"/>
          </w:tcPr>
          <w:p>
            <w:pPr>
              <w:jc w:val="center"/>
              <w:rPr>
                <w:rFonts w:ascii="仿宋" w:hAnsi="仿宋" w:eastAsia="仿宋"/>
                <w:color w:val="000000"/>
                <w:kern w:val="0"/>
                <w:sz w:val="24"/>
                <w:szCs w:val="24"/>
              </w:rPr>
            </w:pPr>
            <w:r>
              <w:rPr>
                <w:rFonts w:hint="eastAsia" w:ascii="仿宋" w:hAnsi="仿宋" w:eastAsia="仿宋"/>
                <w:color w:val="000000"/>
                <w:kern w:val="0"/>
                <w:sz w:val="24"/>
                <w:szCs w:val="24"/>
              </w:rPr>
              <w:t>省级</w:t>
            </w:r>
          </w:p>
        </w:tc>
        <w:tc>
          <w:tcPr>
            <w:tcW w:w="1276" w:type="dxa"/>
            <w:shd w:val="clear" w:color="auto" w:fill="DEEAF6" w:themeFill="accent5" w:themeFillTint="33"/>
            <w:vAlign w:val="center"/>
          </w:tcPr>
          <w:p>
            <w:pPr>
              <w:jc w:val="center"/>
              <w:rPr>
                <w:rFonts w:ascii="仿宋" w:hAnsi="仿宋" w:eastAsia="仿宋"/>
                <w:color w:val="000000"/>
                <w:kern w:val="0"/>
                <w:sz w:val="24"/>
                <w:szCs w:val="24"/>
              </w:rPr>
            </w:pPr>
            <w:r>
              <w:rPr>
                <w:rFonts w:hint="eastAsia" w:ascii="仿宋" w:hAnsi="仿宋" w:eastAsia="仿宋"/>
                <w:color w:val="000000"/>
                <w:kern w:val="0"/>
                <w:sz w:val="24"/>
                <w:szCs w:val="24"/>
              </w:rPr>
              <w:t>实践教学</w:t>
            </w:r>
          </w:p>
        </w:tc>
        <w:tc>
          <w:tcPr>
            <w:tcW w:w="7087" w:type="dxa"/>
            <w:shd w:val="clear" w:color="auto" w:fill="DEEAF6" w:themeFill="accent5" w:themeFillTint="33"/>
            <w:vAlign w:val="center"/>
          </w:tcPr>
          <w:p>
            <w:pPr>
              <w:rPr>
                <w:rFonts w:ascii="仿宋" w:hAnsi="仿宋" w:eastAsia="仿宋"/>
                <w:color w:val="000000"/>
                <w:kern w:val="0"/>
                <w:sz w:val="24"/>
                <w:szCs w:val="24"/>
              </w:rPr>
            </w:pPr>
            <w:r>
              <w:rPr>
                <w:rFonts w:hint="eastAsia" w:ascii="仿宋" w:hAnsi="仿宋" w:eastAsia="仿宋"/>
                <w:color w:val="000000"/>
                <w:kern w:val="0"/>
                <w:sz w:val="24"/>
                <w:szCs w:val="24"/>
              </w:rPr>
              <w:t>2021年江苏省普通高校本专科优秀毕业设计（论文）三等奖2项、团队奖1项</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trPr>
        <w:tc>
          <w:tcPr>
            <w:tcW w:w="568" w:type="dxa"/>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7</w:t>
            </w:r>
          </w:p>
        </w:tc>
        <w:tc>
          <w:tcPr>
            <w:tcW w:w="709" w:type="dxa"/>
            <w:shd w:val="clear" w:color="auto" w:fill="BDD6EE" w:themeFill="accent5" w:themeFillTint="66"/>
            <w:vAlign w:val="center"/>
          </w:tcPr>
          <w:p>
            <w:pPr>
              <w:jc w:val="center"/>
              <w:rPr>
                <w:rFonts w:ascii="仿宋" w:hAnsi="仿宋" w:eastAsia="仿宋"/>
                <w:color w:val="000000"/>
                <w:kern w:val="0"/>
                <w:sz w:val="24"/>
                <w:szCs w:val="24"/>
              </w:rPr>
            </w:pPr>
            <w:r>
              <w:rPr>
                <w:rFonts w:hint="eastAsia" w:ascii="仿宋" w:hAnsi="仿宋" w:eastAsia="仿宋"/>
                <w:color w:val="000000"/>
                <w:kern w:val="0"/>
                <w:sz w:val="24"/>
                <w:szCs w:val="24"/>
              </w:rPr>
              <w:t>省级</w:t>
            </w:r>
          </w:p>
        </w:tc>
        <w:tc>
          <w:tcPr>
            <w:tcW w:w="1276" w:type="dxa"/>
            <w:shd w:val="clear" w:color="auto" w:fill="BDD6EE" w:themeFill="accent5" w:themeFillTint="66"/>
            <w:vAlign w:val="center"/>
          </w:tcPr>
          <w:p>
            <w:pPr>
              <w:jc w:val="center"/>
              <w:rPr>
                <w:rFonts w:ascii="仿宋" w:hAnsi="仿宋" w:eastAsia="仿宋"/>
                <w:color w:val="000000"/>
                <w:kern w:val="0"/>
                <w:sz w:val="24"/>
                <w:szCs w:val="24"/>
              </w:rPr>
            </w:pPr>
            <w:r>
              <w:rPr>
                <w:rFonts w:hint="eastAsia" w:ascii="仿宋" w:hAnsi="仿宋" w:eastAsia="仿宋"/>
                <w:color w:val="000000"/>
                <w:kern w:val="0"/>
                <w:sz w:val="24"/>
                <w:szCs w:val="24"/>
              </w:rPr>
              <w:t>创新创业</w:t>
            </w:r>
          </w:p>
        </w:tc>
        <w:tc>
          <w:tcPr>
            <w:tcW w:w="7087" w:type="dxa"/>
            <w:shd w:val="clear" w:color="auto" w:fill="BDD6EE" w:themeFill="accent5" w:themeFillTint="66"/>
            <w:vAlign w:val="center"/>
          </w:tcPr>
          <w:p>
            <w:pPr>
              <w:rPr>
                <w:rFonts w:ascii="仿宋" w:hAnsi="仿宋" w:eastAsia="仿宋"/>
                <w:color w:val="000000"/>
                <w:kern w:val="0"/>
                <w:sz w:val="24"/>
                <w:szCs w:val="24"/>
              </w:rPr>
            </w:pPr>
            <w:r>
              <w:rPr>
                <w:rFonts w:hint="eastAsia" w:ascii="仿宋" w:hAnsi="仿宋" w:eastAsia="仿宋"/>
                <w:color w:val="000000"/>
                <w:kern w:val="0"/>
                <w:sz w:val="24"/>
                <w:szCs w:val="24"/>
              </w:rPr>
              <w:t>2022年江苏省职业院校创新创业大赛省级复赛三等奖1项</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trPr>
        <w:tc>
          <w:tcPr>
            <w:tcW w:w="568" w:type="dxa"/>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8</w:t>
            </w:r>
          </w:p>
        </w:tc>
        <w:tc>
          <w:tcPr>
            <w:tcW w:w="709" w:type="dxa"/>
            <w:shd w:val="clear" w:color="auto" w:fill="DEEAF6" w:themeFill="accent5" w:themeFillTint="33"/>
            <w:vAlign w:val="center"/>
          </w:tcPr>
          <w:p>
            <w:pPr>
              <w:jc w:val="center"/>
              <w:rPr>
                <w:rFonts w:ascii="仿宋" w:hAnsi="仿宋" w:eastAsia="仿宋"/>
                <w:color w:val="000000"/>
                <w:kern w:val="0"/>
                <w:sz w:val="24"/>
                <w:szCs w:val="24"/>
              </w:rPr>
            </w:pPr>
            <w:r>
              <w:rPr>
                <w:rFonts w:hint="eastAsia" w:ascii="仿宋" w:hAnsi="仿宋" w:eastAsia="仿宋"/>
                <w:color w:val="000000"/>
                <w:kern w:val="0"/>
                <w:sz w:val="24"/>
                <w:szCs w:val="24"/>
              </w:rPr>
              <w:t>省级</w:t>
            </w:r>
          </w:p>
        </w:tc>
        <w:tc>
          <w:tcPr>
            <w:tcW w:w="1276" w:type="dxa"/>
            <w:shd w:val="clear" w:color="auto" w:fill="DEEAF6" w:themeFill="accent5" w:themeFillTint="33"/>
            <w:vAlign w:val="center"/>
          </w:tcPr>
          <w:p>
            <w:pPr>
              <w:jc w:val="center"/>
              <w:rPr>
                <w:rFonts w:ascii="仿宋" w:hAnsi="仿宋" w:eastAsia="仿宋"/>
                <w:color w:val="000000"/>
                <w:kern w:val="0"/>
                <w:sz w:val="24"/>
                <w:szCs w:val="24"/>
              </w:rPr>
            </w:pPr>
            <w:r>
              <w:rPr>
                <w:rFonts w:hint="eastAsia" w:ascii="仿宋" w:hAnsi="仿宋" w:eastAsia="仿宋"/>
                <w:color w:val="000000"/>
                <w:kern w:val="0"/>
                <w:sz w:val="24"/>
                <w:szCs w:val="24"/>
              </w:rPr>
              <w:t>微课比赛</w:t>
            </w:r>
          </w:p>
        </w:tc>
        <w:tc>
          <w:tcPr>
            <w:tcW w:w="7087" w:type="dxa"/>
            <w:shd w:val="clear" w:color="auto" w:fill="DEEAF6" w:themeFill="accent5" w:themeFillTint="33"/>
            <w:vAlign w:val="center"/>
          </w:tcPr>
          <w:p>
            <w:pPr>
              <w:rPr>
                <w:rFonts w:ascii="仿宋" w:hAnsi="仿宋" w:eastAsia="仿宋"/>
                <w:color w:val="000000"/>
                <w:kern w:val="0"/>
                <w:sz w:val="24"/>
                <w:szCs w:val="24"/>
              </w:rPr>
            </w:pPr>
            <w:r>
              <w:rPr>
                <w:rFonts w:hint="eastAsia" w:ascii="仿宋" w:hAnsi="仿宋" w:eastAsia="仿宋"/>
                <w:color w:val="000000"/>
                <w:kern w:val="0"/>
                <w:sz w:val="24"/>
                <w:szCs w:val="24"/>
              </w:rPr>
              <w:t>2021年江苏省微课比赛（高职组）二等奖1项、三等奖2项</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trPr>
        <w:tc>
          <w:tcPr>
            <w:tcW w:w="568" w:type="dxa"/>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9</w:t>
            </w:r>
          </w:p>
        </w:tc>
        <w:tc>
          <w:tcPr>
            <w:tcW w:w="709" w:type="dxa"/>
            <w:shd w:val="clear" w:color="auto" w:fill="BDD6EE" w:themeFill="accent5" w:themeFillTint="66"/>
            <w:vAlign w:val="center"/>
          </w:tcPr>
          <w:p>
            <w:pPr>
              <w:jc w:val="center"/>
              <w:rPr>
                <w:rFonts w:ascii="仿宋" w:hAnsi="仿宋" w:eastAsia="仿宋"/>
                <w:color w:val="000000"/>
                <w:kern w:val="0"/>
                <w:sz w:val="24"/>
                <w:szCs w:val="24"/>
              </w:rPr>
            </w:pPr>
            <w:r>
              <w:rPr>
                <w:rFonts w:hint="eastAsia" w:ascii="仿宋" w:hAnsi="仿宋" w:eastAsia="仿宋"/>
                <w:color w:val="000000"/>
                <w:kern w:val="0"/>
                <w:sz w:val="24"/>
                <w:szCs w:val="24"/>
              </w:rPr>
              <w:t>市级</w:t>
            </w:r>
          </w:p>
        </w:tc>
        <w:tc>
          <w:tcPr>
            <w:tcW w:w="1276" w:type="dxa"/>
            <w:shd w:val="clear" w:color="auto" w:fill="BDD6EE" w:themeFill="accent5" w:themeFillTint="66"/>
            <w:vAlign w:val="center"/>
          </w:tcPr>
          <w:p>
            <w:pPr>
              <w:jc w:val="center"/>
              <w:rPr>
                <w:rFonts w:ascii="仿宋" w:hAnsi="仿宋" w:eastAsia="仿宋"/>
                <w:color w:val="000000"/>
                <w:kern w:val="0"/>
                <w:sz w:val="24"/>
                <w:szCs w:val="24"/>
              </w:rPr>
            </w:pPr>
            <w:r>
              <w:rPr>
                <w:rFonts w:hint="eastAsia" w:ascii="仿宋" w:hAnsi="仿宋" w:eastAsia="仿宋"/>
                <w:color w:val="000000"/>
                <w:kern w:val="0"/>
                <w:sz w:val="24"/>
                <w:szCs w:val="24"/>
              </w:rPr>
              <w:t>专业建设</w:t>
            </w:r>
          </w:p>
        </w:tc>
        <w:tc>
          <w:tcPr>
            <w:tcW w:w="7087" w:type="dxa"/>
            <w:shd w:val="clear" w:color="auto" w:fill="BDD6EE" w:themeFill="accent5" w:themeFillTint="66"/>
            <w:vAlign w:val="center"/>
          </w:tcPr>
          <w:p>
            <w:pPr>
              <w:rPr>
                <w:rFonts w:ascii="仿宋" w:hAnsi="仿宋" w:eastAsia="仿宋"/>
                <w:color w:val="000000"/>
                <w:kern w:val="0"/>
                <w:sz w:val="24"/>
                <w:szCs w:val="24"/>
              </w:rPr>
            </w:pPr>
            <w:r>
              <w:rPr>
                <w:rFonts w:hint="eastAsia" w:ascii="仿宋" w:hAnsi="仿宋" w:eastAsia="仿宋"/>
                <w:color w:val="000000"/>
                <w:kern w:val="0"/>
                <w:sz w:val="24"/>
                <w:szCs w:val="24"/>
              </w:rPr>
              <w:t>苏州市第四批品牌专业：电子商务</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trPr>
        <w:tc>
          <w:tcPr>
            <w:tcW w:w="568" w:type="dxa"/>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10</w:t>
            </w:r>
          </w:p>
        </w:tc>
        <w:tc>
          <w:tcPr>
            <w:tcW w:w="709" w:type="dxa"/>
            <w:shd w:val="clear" w:color="auto" w:fill="DEEAF6" w:themeFill="accent5" w:themeFillTint="33"/>
            <w:vAlign w:val="center"/>
          </w:tcPr>
          <w:p>
            <w:pPr>
              <w:jc w:val="center"/>
              <w:rPr>
                <w:rFonts w:ascii="仿宋" w:hAnsi="仿宋" w:eastAsia="仿宋"/>
                <w:color w:val="000000"/>
                <w:kern w:val="0"/>
                <w:sz w:val="24"/>
                <w:szCs w:val="24"/>
              </w:rPr>
            </w:pPr>
            <w:r>
              <w:rPr>
                <w:rFonts w:hint="eastAsia" w:ascii="仿宋" w:hAnsi="仿宋" w:eastAsia="仿宋"/>
                <w:color w:val="000000"/>
                <w:kern w:val="0"/>
                <w:sz w:val="24"/>
                <w:szCs w:val="24"/>
              </w:rPr>
              <w:t>市级</w:t>
            </w:r>
          </w:p>
        </w:tc>
        <w:tc>
          <w:tcPr>
            <w:tcW w:w="1276" w:type="dxa"/>
            <w:shd w:val="clear" w:color="auto" w:fill="DEEAF6" w:themeFill="accent5" w:themeFillTint="33"/>
            <w:vAlign w:val="center"/>
          </w:tcPr>
          <w:p>
            <w:pPr>
              <w:jc w:val="center"/>
              <w:rPr>
                <w:rFonts w:ascii="仿宋" w:hAnsi="仿宋" w:eastAsia="仿宋"/>
                <w:color w:val="000000"/>
                <w:kern w:val="0"/>
                <w:sz w:val="24"/>
                <w:szCs w:val="24"/>
              </w:rPr>
            </w:pPr>
            <w:r>
              <w:rPr>
                <w:rFonts w:hint="eastAsia" w:ascii="仿宋" w:hAnsi="仿宋" w:eastAsia="仿宋"/>
                <w:color w:val="000000"/>
                <w:kern w:val="0"/>
                <w:sz w:val="24"/>
                <w:szCs w:val="24"/>
              </w:rPr>
              <w:t>师资建设</w:t>
            </w:r>
          </w:p>
        </w:tc>
        <w:tc>
          <w:tcPr>
            <w:tcW w:w="7087" w:type="dxa"/>
            <w:shd w:val="clear" w:color="auto" w:fill="DEEAF6" w:themeFill="accent5" w:themeFillTint="33"/>
            <w:vAlign w:val="center"/>
          </w:tcPr>
          <w:p>
            <w:pPr>
              <w:rPr>
                <w:rFonts w:ascii="仿宋" w:hAnsi="仿宋" w:eastAsia="仿宋"/>
                <w:color w:val="000000"/>
                <w:kern w:val="0"/>
                <w:sz w:val="24"/>
                <w:szCs w:val="24"/>
              </w:rPr>
            </w:pPr>
            <w:r>
              <w:rPr>
                <w:rFonts w:hint="eastAsia" w:ascii="仿宋" w:hAnsi="仿宋" w:eastAsia="仿宋"/>
                <w:color w:val="000000"/>
                <w:kern w:val="0"/>
                <w:sz w:val="24"/>
                <w:szCs w:val="24"/>
              </w:rPr>
              <w:t>苏州市教师教学创新团队：环境艺术设计教学创新团队</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trPr>
        <w:tc>
          <w:tcPr>
            <w:tcW w:w="568" w:type="dxa"/>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11</w:t>
            </w:r>
          </w:p>
        </w:tc>
        <w:tc>
          <w:tcPr>
            <w:tcW w:w="709" w:type="dxa"/>
            <w:shd w:val="clear" w:color="auto" w:fill="BDD6EE" w:themeFill="accent5" w:themeFillTint="66"/>
            <w:vAlign w:val="center"/>
          </w:tcPr>
          <w:p>
            <w:pPr>
              <w:jc w:val="center"/>
              <w:rPr>
                <w:rFonts w:ascii="仿宋" w:hAnsi="仿宋" w:eastAsia="仿宋"/>
                <w:color w:val="000000"/>
                <w:kern w:val="0"/>
                <w:sz w:val="24"/>
                <w:szCs w:val="24"/>
              </w:rPr>
            </w:pPr>
            <w:r>
              <w:rPr>
                <w:rFonts w:hint="eastAsia" w:ascii="仿宋" w:hAnsi="仿宋" w:eastAsia="仿宋"/>
                <w:color w:val="000000"/>
                <w:kern w:val="0"/>
                <w:sz w:val="24"/>
                <w:szCs w:val="24"/>
              </w:rPr>
              <w:t>市级</w:t>
            </w:r>
          </w:p>
        </w:tc>
        <w:tc>
          <w:tcPr>
            <w:tcW w:w="1276" w:type="dxa"/>
            <w:shd w:val="clear" w:color="auto" w:fill="BDD6EE" w:themeFill="accent5" w:themeFillTint="66"/>
            <w:vAlign w:val="center"/>
          </w:tcPr>
          <w:p>
            <w:pPr>
              <w:jc w:val="center"/>
              <w:rPr>
                <w:rFonts w:ascii="仿宋" w:hAnsi="仿宋" w:eastAsia="仿宋"/>
                <w:color w:val="000000"/>
                <w:kern w:val="0"/>
                <w:sz w:val="24"/>
                <w:szCs w:val="24"/>
              </w:rPr>
            </w:pPr>
            <w:r>
              <w:rPr>
                <w:rFonts w:hint="eastAsia" w:ascii="仿宋" w:hAnsi="仿宋" w:eastAsia="仿宋"/>
                <w:color w:val="000000"/>
                <w:kern w:val="0"/>
                <w:sz w:val="24"/>
                <w:szCs w:val="24"/>
              </w:rPr>
              <w:t>教学比赛</w:t>
            </w:r>
          </w:p>
        </w:tc>
        <w:tc>
          <w:tcPr>
            <w:tcW w:w="7087" w:type="dxa"/>
            <w:shd w:val="clear" w:color="auto" w:fill="BDD6EE" w:themeFill="accent5" w:themeFillTint="66"/>
            <w:vAlign w:val="center"/>
          </w:tcPr>
          <w:p>
            <w:pPr>
              <w:rPr>
                <w:rFonts w:ascii="仿宋" w:hAnsi="仿宋" w:eastAsia="仿宋"/>
                <w:color w:val="000000"/>
                <w:kern w:val="0"/>
                <w:sz w:val="24"/>
                <w:szCs w:val="24"/>
              </w:rPr>
            </w:pPr>
            <w:r>
              <w:rPr>
                <w:rFonts w:hint="eastAsia" w:ascii="仿宋" w:hAnsi="仿宋" w:eastAsia="仿宋"/>
                <w:color w:val="000000"/>
                <w:kern w:val="0"/>
                <w:sz w:val="24"/>
                <w:szCs w:val="24"/>
              </w:rPr>
              <w:t>2021年苏州市教师教学能力大赛一等奖1项、二等奖1项</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trPr>
        <w:tc>
          <w:tcPr>
            <w:tcW w:w="568" w:type="dxa"/>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12</w:t>
            </w:r>
          </w:p>
        </w:tc>
        <w:tc>
          <w:tcPr>
            <w:tcW w:w="709" w:type="dxa"/>
            <w:shd w:val="clear" w:color="auto" w:fill="DEEAF6" w:themeFill="accent5" w:themeFillTint="33"/>
            <w:vAlign w:val="center"/>
          </w:tcPr>
          <w:p>
            <w:pPr>
              <w:jc w:val="center"/>
              <w:rPr>
                <w:rFonts w:ascii="仿宋" w:hAnsi="仿宋" w:eastAsia="仿宋"/>
                <w:color w:val="000000"/>
                <w:kern w:val="0"/>
                <w:sz w:val="24"/>
                <w:szCs w:val="24"/>
              </w:rPr>
            </w:pPr>
            <w:r>
              <w:rPr>
                <w:rFonts w:hint="eastAsia" w:ascii="仿宋" w:hAnsi="仿宋" w:eastAsia="仿宋"/>
                <w:color w:val="000000"/>
                <w:kern w:val="0"/>
                <w:sz w:val="24"/>
                <w:szCs w:val="24"/>
              </w:rPr>
              <w:t>省级</w:t>
            </w:r>
          </w:p>
        </w:tc>
        <w:tc>
          <w:tcPr>
            <w:tcW w:w="1276" w:type="dxa"/>
            <w:shd w:val="clear" w:color="auto" w:fill="DEEAF6" w:themeFill="accent5" w:themeFillTint="33"/>
            <w:vAlign w:val="center"/>
          </w:tcPr>
          <w:p>
            <w:pPr>
              <w:jc w:val="center"/>
              <w:rPr>
                <w:rFonts w:ascii="仿宋" w:hAnsi="仿宋" w:eastAsia="仿宋"/>
                <w:color w:val="000000"/>
                <w:kern w:val="0"/>
                <w:sz w:val="24"/>
                <w:szCs w:val="24"/>
              </w:rPr>
            </w:pPr>
            <w:r>
              <w:rPr>
                <w:rFonts w:hint="eastAsia" w:ascii="仿宋" w:hAnsi="仿宋" w:eastAsia="仿宋"/>
                <w:color w:val="000000"/>
                <w:kern w:val="0"/>
                <w:sz w:val="24"/>
                <w:szCs w:val="24"/>
              </w:rPr>
              <w:t>教改课题</w:t>
            </w:r>
          </w:p>
        </w:tc>
        <w:tc>
          <w:tcPr>
            <w:tcW w:w="7087" w:type="dxa"/>
            <w:shd w:val="clear" w:color="auto" w:fill="DEEAF6" w:themeFill="accent5" w:themeFillTint="33"/>
            <w:vAlign w:val="center"/>
          </w:tcPr>
          <w:p>
            <w:pPr>
              <w:rPr>
                <w:rFonts w:ascii="仿宋" w:hAnsi="仿宋" w:eastAsia="仿宋"/>
                <w:color w:val="000000"/>
                <w:kern w:val="0"/>
                <w:sz w:val="24"/>
                <w:szCs w:val="24"/>
              </w:rPr>
            </w:pPr>
            <w:r>
              <w:rPr>
                <w:rFonts w:hint="eastAsia" w:ascii="仿宋" w:hAnsi="仿宋" w:eastAsia="仿宋"/>
                <w:color w:val="000000"/>
                <w:kern w:val="0"/>
                <w:sz w:val="24"/>
                <w:szCs w:val="24"/>
              </w:rPr>
              <w:t>“四史”教育融入高校思政课实践育人机制创新研究（刘峰）1项</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624" w:hRule="atLeast"/>
        </w:trPr>
        <w:tc>
          <w:tcPr>
            <w:tcW w:w="568" w:type="dxa"/>
            <w:tcBorders>
              <w:left w:val="single" w:color="CCE8CF" w:themeColor="background1" w:sz="4" w:space="0"/>
              <w:bottom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13</w:t>
            </w:r>
          </w:p>
        </w:tc>
        <w:tc>
          <w:tcPr>
            <w:tcW w:w="709" w:type="dxa"/>
            <w:shd w:val="clear" w:color="auto" w:fill="BDD6EE" w:themeFill="accent5" w:themeFillTint="66"/>
            <w:vAlign w:val="center"/>
          </w:tcPr>
          <w:p>
            <w:pPr>
              <w:jc w:val="center"/>
              <w:rPr>
                <w:rFonts w:ascii="仿宋" w:hAnsi="仿宋" w:eastAsia="仿宋"/>
                <w:color w:val="000000"/>
                <w:kern w:val="0"/>
                <w:sz w:val="24"/>
                <w:szCs w:val="24"/>
              </w:rPr>
            </w:pPr>
            <w:r>
              <w:rPr>
                <w:rFonts w:hint="eastAsia" w:ascii="仿宋" w:hAnsi="仿宋" w:eastAsia="仿宋"/>
                <w:color w:val="000000"/>
                <w:kern w:val="0"/>
                <w:sz w:val="24"/>
                <w:szCs w:val="24"/>
              </w:rPr>
              <w:t>市级</w:t>
            </w:r>
          </w:p>
        </w:tc>
        <w:tc>
          <w:tcPr>
            <w:tcW w:w="1276" w:type="dxa"/>
            <w:shd w:val="clear" w:color="auto" w:fill="BDD6EE" w:themeFill="accent5" w:themeFillTint="66"/>
            <w:vAlign w:val="center"/>
          </w:tcPr>
          <w:p>
            <w:pPr>
              <w:jc w:val="center"/>
              <w:rPr>
                <w:rFonts w:ascii="仿宋" w:hAnsi="仿宋" w:eastAsia="仿宋"/>
                <w:color w:val="000000"/>
                <w:kern w:val="0"/>
                <w:sz w:val="24"/>
                <w:szCs w:val="24"/>
              </w:rPr>
            </w:pPr>
            <w:r>
              <w:rPr>
                <w:rFonts w:hint="eastAsia" w:ascii="仿宋" w:hAnsi="仿宋" w:eastAsia="仿宋"/>
                <w:color w:val="000000"/>
                <w:kern w:val="0"/>
                <w:sz w:val="24"/>
                <w:szCs w:val="24"/>
              </w:rPr>
              <w:t>教改课题</w:t>
            </w:r>
          </w:p>
        </w:tc>
        <w:tc>
          <w:tcPr>
            <w:tcW w:w="7087" w:type="dxa"/>
            <w:shd w:val="clear" w:color="auto" w:fill="BDD6EE" w:themeFill="accent5" w:themeFillTint="66"/>
            <w:vAlign w:val="center"/>
          </w:tcPr>
          <w:p>
            <w:pPr>
              <w:rPr>
                <w:rFonts w:ascii="仿宋" w:hAnsi="仿宋" w:eastAsia="仿宋"/>
                <w:color w:val="000000"/>
                <w:kern w:val="0"/>
                <w:sz w:val="24"/>
                <w:szCs w:val="24"/>
              </w:rPr>
            </w:pPr>
            <w:r>
              <w:rPr>
                <w:rFonts w:hint="eastAsia" w:ascii="仿宋" w:hAnsi="仿宋" w:eastAsia="仿宋"/>
                <w:color w:val="000000"/>
                <w:kern w:val="0"/>
                <w:sz w:val="24"/>
                <w:szCs w:val="24"/>
              </w:rPr>
              <w:t>“四合”背景下软件技术专业工学结合班课程体系重构实践研究（李凤盼）1项</w:t>
            </w:r>
          </w:p>
        </w:tc>
      </w:tr>
    </w:tbl>
    <w:p>
      <w:pPr>
        <w:adjustRightInd w:val="0"/>
        <w:snapToGrid w:val="0"/>
        <w:spacing w:before="156" w:beforeLines="50" w:line="360" w:lineRule="auto"/>
        <w:ind w:firstLine="560" w:firstLineChars="200"/>
        <w:rPr>
          <w:rFonts w:ascii="仿宋" w:hAnsi="仿宋" w:eastAsia="仿宋"/>
          <w:sz w:val="28"/>
          <w:szCs w:val="28"/>
        </w:rPr>
      </w:pPr>
      <w:r>
        <w:rPr>
          <w:rFonts w:hint="eastAsia" w:ascii="仿宋" w:hAnsi="仿宋" w:eastAsia="仿宋"/>
          <w:sz w:val="28"/>
          <w:szCs w:val="28"/>
        </w:rPr>
        <w:t>在“争一流、创品牌、办特色”的办学理念指导下，该校立足于校企合作、产教融合，通过开门办学，合作教研，不断深化教育教学改革，课程体系及实践教学体系与产业发展结合紧密的努力，人才培养模式改革效果明显。信息与软件学院发挥其软件专业（群）的龙头品牌优势，继续推动通过教师带领学生开发专利和软件著作权的方式，推动软件专业人才培养，本学年开发并授权的实用新型专利2</w:t>
      </w:r>
      <w:r>
        <w:rPr>
          <w:rFonts w:ascii="仿宋" w:hAnsi="仿宋" w:eastAsia="仿宋"/>
          <w:sz w:val="28"/>
          <w:szCs w:val="28"/>
        </w:rPr>
        <w:t>5</w:t>
      </w:r>
      <w:r>
        <w:rPr>
          <w:rFonts w:hint="eastAsia" w:ascii="仿宋" w:hAnsi="仿宋" w:eastAsia="仿宋"/>
          <w:sz w:val="28"/>
          <w:szCs w:val="28"/>
        </w:rPr>
        <w:t>个；批准登记的软件著作权8</w:t>
      </w:r>
      <w:r>
        <w:rPr>
          <w:rFonts w:ascii="仿宋" w:hAnsi="仿宋" w:eastAsia="仿宋"/>
          <w:sz w:val="28"/>
          <w:szCs w:val="28"/>
        </w:rPr>
        <w:t>0</w:t>
      </w:r>
      <w:r>
        <w:rPr>
          <w:rFonts w:hint="eastAsia" w:ascii="仿宋" w:hAnsi="仿宋" w:eastAsia="仿宋"/>
          <w:sz w:val="28"/>
          <w:szCs w:val="28"/>
        </w:rPr>
        <w:t>个。艺术与建筑学院在推动艺术专业创造力人才培养课程改革实验稳步推进；人文社科学院“综合英语”教学团队启动英语强基班的人才培养形式。在“学院移动互联技术实训项目”获批江苏省高等职业教育产教深度融合实训平台、软件技术专业被遴选为江苏省高等职业教育高水平骨干专业，本学年又获取多项省、市质量建设项目立项及技能竞赛成果（见表2.5）。</w:t>
      </w:r>
    </w:p>
    <w:bookmarkEnd w:id="182"/>
    <w:bookmarkEnd w:id="183"/>
    <w:p>
      <w:pPr>
        <w:pStyle w:val="3"/>
        <w:spacing w:before="0" w:after="0" w:line="360" w:lineRule="auto"/>
        <w:ind w:firstLine="562" w:firstLineChars="200"/>
        <w:rPr>
          <w:rFonts w:ascii="仿宋_GB2312" w:eastAsia="仿宋_GB2312" w:hAnsiTheme="minorEastAsia"/>
          <w:sz w:val="28"/>
          <w:szCs w:val="28"/>
        </w:rPr>
      </w:pPr>
      <w:bookmarkStart w:id="186" w:name="_Toc124087895"/>
      <w:r>
        <w:rPr>
          <w:rFonts w:hint="eastAsia" w:ascii="仿宋_GB2312" w:eastAsia="仿宋_GB2312" w:hAnsiTheme="minorEastAsia"/>
          <w:sz w:val="28"/>
          <w:szCs w:val="28"/>
        </w:rPr>
        <w:t>2</w:t>
      </w:r>
      <w:r>
        <w:rPr>
          <w:rFonts w:ascii="仿宋_GB2312" w:eastAsia="仿宋_GB2312" w:hAnsiTheme="minorEastAsia"/>
          <w:sz w:val="28"/>
          <w:szCs w:val="28"/>
        </w:rPr>
        <w:t>.8</w:t>
      </w:r>
      <w:r>
        <w:rPr>
          <w:rFonts w:hint="eastAsia" w:ascii="仿宋_GB2312" w:eastAsia="仿宋_GB2312" w:hAnsiTheme="minorEastAsia"/>
          <w:sz w:val="28"/>
          <w:szCs w:val="28"/>
        </w:rPr>
        <w:t>特色建设</w:t>
      </w:r>
      <w:bookmarkEnd w:id="186"/>
    </w:p>
    <w:p>
      <w:pPr>
        <w:adjustRightInd w:val="0"/>
        <w:snapToGrid w:val="0"/>
        <w:spacing w:line="360" w:lineRule="auto"/>
        <w:ind w:firstLine="560" w:firstLineChars="200"/>
        <w:rPr>
          <w:rFonts w:ascii="仿宋" w:hAnsi="仿宋" w:eastAsia="仿宋"/>
          <w:sz w:val="28"/>
          <w:szCs w:val="28"/>
        </w:rPr>
      </w:pPr>
      <w:bookmarkStart w:id="187" w:name="_Toc119932710"/>
      <w:r>
        <w:rPr>
          <w:rFonts w:hint="eastAsia" w:ascii="仿宋" w:hAnsi="仿宋" w:eastAsia="仿宋"/>
          <w:sz w:val="28"/>
          <w:szCs w:val="28"/>
        </w:rPr>
        <w:t>作为综合性民办高校，该校建校时间较短，家底薄，在校党委、校行政领导团队的带领下，不懈奋斗，积极进取，结合该校校情与学情实际不断探索民营高职院校的办学、育人规律，近些年来，在学校的特色建设上作了以下创新实践。</w:t>
      </w:r>
    </w:p>
    <w:p>
      <w:pPr>
        <w:adjustRightInd w:val="0"/>
        <w:snapToGrid w:val="0"/>
        <w:spacing w:line="360" w:lineRule="auto"/>
        <w:ind w:firstLine="562" w:firstLineChars="200"/>
        <w:rPr>
          <w:rFonts w:ascii="仿宋" w:hAnsi="仿宋" w:eastAsia="仿宋"/>
          <w:b/>
          <w:bCs/>
          <w:sz w:val="28"/>
          <w:szCs w:val="28"/>
        </w:rPr>
      </w:pPr>
      <w:r>
        <w:rPr>
          <w:rFonts w:hint="eastAsia" w:ascii="仿宋" w:hAnsi="仿宋" w:eastAsia="仿宋"/>
          <w:b/>
          <w:bCs/>
          <w:sz w:val="28"/>
          <w:szCs w:val="28"/>
        </w:rPr>
        <w:t>首先，建设</w:t>
      </w:r>
      <w:bookmarkStart w:id="188" w:name="_Hlk121576554"/>
      <w:r>
        <w:rPr>
          <w:rFonts w:hint="eastAsia" w:ascii="仿宋" w:hAnsi="仿宋" w:eastAsia="仿宋"/>
          <w:b/>
          <w:bCs/>
          <w:sz w:val="28"/>
          <w:szCs w:val="28"/>
        </w:rPr>
        <w:t>以二级学院为重心的</w:t>
      </w:r>
      <w:bookmarkStart w:id="189" w:name="_Hlk121490209"/>
      <w:r>
        <w:rPr>
          <w:rFonts w:hint="eastAsia" w:ascii="仿宋" w:hAnsi="仿宋" w:eastAsia="仿宋"/>
          <w:b/>
          <w:bCs/>
          <w:sz w:val="28"/>
          <w:szCs w:val="28"/>
        </w:rPr>
        <w:t>教学运行管理机制</w:t>
      </w:r>
      <w:bookmarkEnd w:id="188"/>
      <w:bookmarkEnd w:id="189"/>
      <w:r>
        <w:rPr>
          <w:rFonts w:hint="eastAsia" w:ascii="仿宋" w:hAnsi="仿宋" w:eastAsia="仿宋"/>
          <w:b/>
          <w:bCs/>
          <w:sz w:val="28"/>
          <w:szCs w:val="28"/>
        </w:rPr>
        <w:t>。</w:t>
      </w:r>
    </w:p>
    <w:p>
      <w:pPr>
        <w:widowControl/>
        <w:ind w:firstLine="560" w:firstLineChars="200"/>
        <w:rPr>
          <w:rFonts w:ascii="宋体" w:hAnsi="宋体" w:eastAsia="宋体" w:cs="宋体"/>
          <w:color w:val="000000"/>
          <w:kern w:val="0"/>
          <w:sz w:val="22"/>
        </w:rPr>
      </w:pPr>
      <w:r>
        <w:rPr>
          <w:rFonts w:hint="eastAsia" w:ascii="仿宋" w:hAnsi="仿宋" w:eastAsia="仿宋"/>
          <w:sz w:val="28"/>
          <w:szCs w:val="28"/>
        </w:rPr>
        <w:t>学校持续推进管理重心下移，建设以二级学院为重心的校、院两级教学管理体制与机制。倡导一院一策，个性发展，尽可能地调动二级学院的育人自主性、积极性和创造力，突出其专家治学和专业特色，努力让二级学院“活”起来。六个二级学院快速成长，各显风彩：艺术与建筑学院颠覆传统模式，按照创新性艺术人才成长规律，实行跨专业基础课程重构，分块分段教学，专业课程立足“工作室”组织结构下的项目课程教学，提高艺术人才培养成效，环境艺术设计专业成长为市级品牌专业和苏州市教师教学创新团队。信息与软件学院发挥其</w:t>
      </w:r>
      <w:bookmarkStart w:id="190" w:name="_Hlk122001518"/>
      <w:r>
        <w:rPr>
          <w:rFonts w:hint="eastAsia" w:ascii="仿宋" w:hAnsi="仿宋" w:eastAsia="仿宋"/>
          <w:sz w:val="28"/>
          <w:szCs w:val="28"/>
        </w:rPr>
        <w:t>软件技术专业（群）为江苏省</w:t>
      </w:r>
      <w:bookmarkEnd w:id="190"/>
      <w:r>
        <w:rPr>
          <w:rFonts w:hint="eastAsia" w:ascii="仿宋" w:hAnsi="仿宋" w:eastAsia="仿宋"/>
          <w:sz w:val="28"/>
          <w:szCs w:val="28"/>
        </w:rPr>
        <w:t>高水平骨干专业、江苏省高等职业教育高水平专业群和苏州市优秀教学团队；移动互联网专业为苏州市优秀新专业的专业建设优势，推动“四阶递进、项目贯通、多维融合”的人才培养模式；通过教师带领学生开发专利和软件著作权的方式，推动软件专业人才培养。机电工程学院以苏州市无人机重点实验室建设为基础推动其专业整合和人才培养。人文社科学院利用社科部、马克思主义学院、人文社课基地等各种平台阵地，推动思政课程团队对其承担的系列思政课程持续改进，获取实效，形成特有模式；“综合英语”教学团队在A、</w:t>
      </w:r>
      <w:r>
        <w:rPr>
          <w:rFonts w:ascii="仿宋" w:hAnsi="仿宋" w:eastAsia="仿宋"/>
          <w:sz w:val="28"/>
          <w:szCs w:val="28"/>
        </w:rPr>
        <w:t>B</w:t>
      </w:r>
      <w:r>
        <w:rPr>
          <w:rFonts w:hint="eastAsia" w:ascii="仿宋" w:hAnsi="仿宋" w:eastAsia="仿宋"/>
          <w:sz w:val="28"/>
          <w:szCs w:val="28"/>
        </w:rPr>
        <w:t>分层的“系统生动化教学模式”改革基础上，启动了英语强基班的人才培养形式，并启动“教师教学、科研能力提升计划”。国际商学院重视教师的教学、科研能力提升的指导与培养，以赛促教，三年四个专业1</w:t>
      </w:r>
      <w:r>
        <w:rPr>
          <w:rFonts w:ascii="仿宋" w:hAnsi="仿宋" w:eastAsia="仿宋"/>
          <w:sz w:val="28"/>
          <w:szCs w:val="28"/>
        </w:rPr>
        <w:t>9</w:t>
      </w:r>
      <w:r>
        <w:rPr>
          <w:rFonts w:hint="eastAsia" w:ascii="仿宋" w:hAnsi="仿宋" w:eastAsia="仿宋"/>
          <w:sz w:val="28"/>
          <w:szCs w:val="28"/>
        </w:rPr>
        <w:t>位教师人次获取江苏省教师教学能力大赛五个三等奖，其电子商务专业发挥市级品牌专业优势，推动“工学交替、二元共育”人才培养模式。</w:t>
      </w:r>
      <w:r>
        <w:rPr>
          <w:rFonts w:ascii="仿宋" w:hAnsi="仿宋" w:eastAsia="仿宋"/>
          <w:sz w:val="28"/>
          <w:szCs w:val="28"/>
        </w:rPr>
        <w:t xml:space="preserve"> </w:t>
      </w:r>
      <w:r>
        <w:rPr>
          <w:rFonts w:hint="eastAsia" w:ascii="仿宋" w:hAnsi="仿宋" w:eastAsia="仿宋"/>
          <w:sz w:val="28"/>
          <w:szCs w:val="28"/>
        </w:rPr>
        <w:t>医学与公共服务学院在“德育为本服务为怀构建多元合作育人共同体，院校合作共建共育德技双馨护理人才”的培养模式上迈开步伐等。</w:t>
      </w:r>
    </w:p>
    <w:p>
      <w:pPr>
        <w:adjustRightInd w:val="0"/>
        <w:snapToGrid w:val="0"/>
        <w:spacing w:line="360" w:lineRule="auto"/>
        <w:ind w:firstLine="562" w:firstLineChars="200"/>
        <w:rPr>
          <w:rFonts w:ascii="仿宋" w:hAnsi="仿宋" w:eastAsia="仿宋"/>
          <w:b/>
          <w:bCs/>
          <w:sz w:val="28"/>
          <w:szCs w:val="28"/>
        </w:rPr>
      </w:pPr>
      <w:r>
        <w:rPr>
          <w:rFonts w:hint="eastAsia" w:ascii="仿宋" w:hAnsi="仿宋" w:eastAsia="仿宋"/>
          <w:b/>
          <w:bCs/>
          <w:sz w:val="28"/>
          <w:szCs w:val="28"/>
        </w:rPr>
        <w:t>第二，组建特聘教授团队实现民办高校队伍建设创新</w:t>
      </w:r>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在</w:t>
      </w:r>
      <w:r>
        <w:rPr>
          <w:rFonts w:ascii="仿宋" w:hAnsi="仿宋" w:eastAsia="仿宋"/>
          <w:sz w:val="28"/>
          <w:szCs w:val="28"/>
        </w:rPr>
        <w:t>2018</w:t>
      </w:r>
      <w:r>
        <w:rPr>
          <w:rFonts w:hint="eastAsia" w:ascii="仿宋" w:hAnsi="仿宋" w:eastAsia="仿宋"/>
          <w:sz w:val="28"/>
          <w:szCs w:val="28"/>
        </w:rPr>
        <w:t>年，该校开始组建特聘教授团队，从苏州大学、南京理工大学等省市名校引进特聘教授，他们或是博导或是承担过校级或院级领导，均是资深专家，在各自专业领域具有重要影响。组建特聘教授团队提升了学校科研与学术水平，带动了学校的技术研究开发氛围，积累了第一资源，促进了内涵发展，在学校师资队伍建设和学校整体发展中所发挥了巨大作用。朱秀林校长求才若渴，礼贤下士，真诚待人。在用人上，突破常规，根据学校实际情况，聘用机制灵活</w:t>
      </w:r>
      <w:r>
        <w:rPr>
          <w:rFonts w:ascii="仿宋" w:hAnsi="仿宋" w:eastAsia="仿宋"/>
          <w:sz w:val="28"/>
          <w:szCs w:val="28"/>
        </w:rPr>
        <w:t>，</w:t>
      </w:r>
      <w:r>
        <w:rPr>
          <w:rFonts w:hint="eastAsia" w:ascii="仿宋" w:hAnsi="仿宋" w:eastAsia="仿宋"/>
          <w:sz w:val="28"/>
          <w:szCs w:val="28"/>
        </w:rPr>
        <w:t>可全职、兼职或短期，也可住</w:t>
      </w:r>
      <w:r>
        <w:rPr>
          <w:rFonts w:ascii="仿宋" w:hAnsi="仿宋" w:eastAsia="仿宋"/>
          <w:sz w:val="28"/>
          <w:szCs w:val="28"/>
        </w:rPr>
        <w:t>校研究</w:t>
      </w:r>
      <w:r>
        <w:rPr>
          <w:rFonts w:hint="eastAsia" w:ascii="仿宋" w:hAnsi="仿宋" w:eastAsia="仿宋"/>
          <w:sz w:val="28"/>
          <w:szCs w:val="28"/>
        </w:rPr>
        <w:t>指导，不拘一格，因</w:t>
      </w:r>
      <w:r>
        <w:rPr>
          <w:rFonts w:ascii="仿宋" w:hAnsi="仿宋" w:eastAsia="仿宋"/>
          <w:sz w:val="28"/>
          <w:szCs w:val="28"/>
        </w:rPr>
        <w:t>岗</w:t>
      </w:r>
      <w:r>
        <w:rPr>
          <w:rFonts w:hint="eastAsia" w:ascii="仿宋" w:hAnsi="仿宋" w:eastAsia="仿宋"/>
          <w:sz w:val="28"/>
          <w:szCs w:val="28"/>
        </w:rPr>
        <w:t>聘</w:t>
      </w:r>
      <w:r>
        <w:rPr>
          <w:rFonts w:ascii="仿宋" w:hAnsi="仿宋" w:eastAsia="仿宋"/>
          <w:sz w:val="28"/>
          <w:szCs w:val="28"/>
        </w:rPr>
        <w:t>用，职务安排合理</w:t>
      </w:r>
      <w:r>
        <w:rPr>
          <w:rFonts w:hint="eastAsia" w:ascii="仿宋" w:hAnsi="仿宋" w:eastAsia="仿宋"/>
          <w:sz w:val="28"/>
          <w:szCs w:val="28"/>
        </w:rPr>
        <w:t>。特聘教授在校级领导、二级学院院长、专业带头人等多个岗位各</w:t>
      </w:r>
      <w:r>
        <w:rPr>
          <w:rFonts w:ascii="仿宋" w:hAnsi="仿宋" w:eastAsia="仿宋"/>
          <w:sz w:val="28"/>
          <w:szCs w:val="28"/>
        </w:rPr>
        <w:t>显其才</w:t>
      </w:r>
      <w:r>
        <w:rPr>
          <w:rFonts w:hint="eastAsia" w:ascii="仿宋" w:hAnsi="仿宋" w:eastAsia="仿宋"/>
          <w:sz w:val="28"/>
          <w:szCs w:val="28"/>
        </w:rPr>
        <w:t>，</w:t>
      </w:r>
      <w:r>
        <w:rPr>
          <w:rFonts w:ascii="仿宋" w:hAnsi="仿宋" w:eastAsia="仿宋"/>
          <w:sz w:val="28"/>
          <w:szCs w:val="28"/>
        </w:rPr>
        <w:t>尽显其能</w:t>
      </w:r>
      <w:r>
        <w:rPr>
          <w:rFonts w:hint="eastAsia" w:ascii="仿宋" w:hAnsi="仿宋" w:eastAsia="仿宋"/>
          <w:sz w:val="28"/>
          <w:szCs w:val="28"/>
        </w:rPr>
        <w:t>。</w:t>
      </w:r>
      <w:r>
        <w:rPr>
          <w:rFonts w:ascii="仿宋" w:hAnsi="仿宋" w:eastAsia="仿宋"/>
          <w:sz w:val="28"/>
          <w:szCs w:val="28"/>
        </w:rPr>
        <w:t>通过</w:t>
      </w:r>
      <w:r>
        <w:rPr>
          <w:rFonts w:hint="eastAsia" w:ascii="仿宋" w:hAnsi="仿宋" w:eastAsia="仿宋"/>
          <w:sz w:val="28"/>
          <w:szCs w:val="28"/>
        </w:rPr>
        <w:t>特聘教授的 “传帮带”，学校青年教师迅速</w:t>
      </w:r>
      <w:r>
        <w:rPr>
          <w:rFonts w:ascii="仿宋" w:hAnsi="仿宋" w:eastAsia="仿宋"/>
          <w:sz w:val="28"/>
          <w:szCs w:val="28"/>
        </w:rPr>
        <w:t>成长</w:t>
      </w:r>
      <w:r>
        <w:rPr>
          <w:rFonts w:hint="eastAsia" w:ascii="仿宋" w:hAnsi="仿宋" w:eastAsia="仿宋"/>
          <w:sz w:val="28"/>
          <w:szCs w:val="28"/>
        </w:rPr>
        <w:t>，初步形成了一支师德高尚、学术精湛、精干务实、充满活力，适应学校内涵发展需要的师资队伍。本学年</w:t>
      </w:r>
      <w:r>
        <w:rPr>
          <w:rFonts w:ascii="仿宋" w:hAnsi="仿宋" w:eastAsia="仿宋"/>
          <w:sz w:val="28"/>
          <w:szCs w:val="28"/>
        </w:rPr>
        <w:t>共引进14个特聘教授，</w:t>
      </w:r>
      <w:r>
        <w:rPr>
          <w:rFonts w:hint="eastAsia" w:ascii="仿宋" w:hAnsi="仿宋" w:eastAsia="仿宋"/>
          <w:sz w:val="28"/>
          <w:szCs w:val="28"/>
        </w:rPr>
        <w:t>至今学校引进的</w:t>
      </w:r>
      <w:r>
        <w:rPr>
          <w:rFonts w:ascii="仿宋" w:hAnsi="仿宋" w:eastAsia="仿宋"/>
          <w:sz w:val="28"/>
          <w:szCs w:val="28"/>
        </w:rPr>
        <w:t>特聘教授</w:t>
      </w:r>
      <w:r>
        <w:rPr>
          <w:rFonts w:hint="eastAsia" w:ascii="仿宋" w:hAnsi="仿宋" w:eastAsia="仿宋"/>
          <w:sz w:val="28"/>
          <w:szCs w:val="28"/>
        </w:rPr>
        <w:t>已达</w:t>
      </w:r>
      <w:r>
        <w:rPr>
          <w:rFonts w:ascii="仿宋" w:hAnsi="仿宋" w:eastAsia="仿宋"/>
          <w:sz w:val="28"/>
          <w:szCs w:val="28"/>
        </w:rPr>
        <w:t>63个</w:t>
      </w:r>
      <w:r>
        <w:rPr>
          <w:rFonts w:hint="eastAsia" w:ascii="仿宋" w:hAnsi="仿宋" w:eastAsia="仿宋"/>
          <w:sz w:val="28"/>
          <w:szCs w:val="28"/>
        </w:rPr>
        <w:t>。利用特聘教授的优势，同时开展校际间的密切合作，尤其是争取到了苏州大学的全方位支持，至今已形成了共建马克思主义学院，建设苏大继续教育学院高博分院等多项紧密型合作。</w:t>
      </w:r>
    </w:p>
    <w:p>
      <w:pPr>
        <w:adjustRightInd w:val="0"/>
        <w:snapToGrid w:val="0"/>
        <w:spacing w:line="360" w:lineRule="auto"/>
        <w:ind w:firstLine="562" w:firstLineChars="200"/>
        <w:rPr>
          <w:rFonts w:ascii="仿宋" w:hAnsi="仿宋" w:eastAsia="仿宋"/>
          <w:b/>
          <w:bCs/>
          <w:sz w:val="28"/>
          <w:szCs w:val="28"/>
        </w:rPr>
      </w:pPr>
      <w:r>
        <w:rPr>
          <w:rFonts w:hint="eastAsia" w:ascii="仿宋" w:hAnsi="仿宋" w:eastAsia="仿宋"/>
          <w:b/>
          <w:bCs/>
          <w:sz w:val="28"/>
          <w:szCs w:val="28"/>
        </w:rPr>
        <w:t>第三，</w:t>
      </w:r>
      <w:bookmarkStart w:id="191" w:name="_Hlk121557217"/>
      <w:r>
        <w:rPr>
          <w:rFonts w:hint="eastAsia" w:ascii="仿宋" w:hAnsi="仿宋" w:eastAsia="仿宋"/>
          <w:b/>
          <w:bCs/>
          <w:sz w:val="28"/>
          <w:szCs w:val="28"/>
        </w:rPr>
        <w:t>以实践教学占比为主要指标的专业分类改革</w:t>
      </w:r>
      <w:bookmarkEnd w:id="191"/>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为了突出人才培养的职业性、实践性与专业性，在学校领导的积极倡导并指导推进下，该校启动了“以实践教学占比为主要指标的专业分类改革”活动，从启动动员到多次研讨，再到形成方案，通过各二级学院特别是专业带头人或专业负责人的积极参与，广泛并深入的沟通论证，该校现行专业分为A、</w:t>
      </w:r>
      <w:r>
        <w:rPr>
          <w:rFonts w:ascii="仿宋" w:hAnsi="仿宋" w:eastAsia="仿宋"/>
          <w:sz w:val="28"/>
          <w:szCs w:val="28"/>
        </w:rPr>
        <w:t>B</w:t>
      </w:r>
      <w:r>
        <w:rPr>
          <w:rFonts w:hint="eastAsia" w:ascii="仿宋" w:hAnsi="仿宋" w:eastAsia="仿宋"/>
          <w:sz w:val="28"/>
          <w:szCs w:val="28"/>
        </w:rPr>
        <w:t>、</w:t>
      </w:r>
      <w:r>
        <w:rPr>
          <w:rFonts w:ascii="仿宋" w:hAnsi="仿宋" w:eastAsia="仿宋"/>
          <w:sz w:val="28"/>
          <w:szCs w:val="28"/>
        </w:rPr>
        <w:t>C</w:t>
      </w:r>
      <w:r>
        <w:rPr>
          <w:rFonts w:hint="eastAsia" w:ascii="仿宋" w:hAnsi="仿宋" w:eastAsia="仿宋"/>
          <w:sz w:val="28"/>
          <w:szCs w:val="28"/>
        </w:rPr>
        <w:t>、</w:t>
      </w:r>
      <w:r>
        <w:rPr>
          <w:rFonts w:ascii="仿宋" w:hAnsi="仿宋" w:eastAsia="仿宋"/>
          <w:sz w:val="28"/>
          <w:szCs w:val="28"/>
        </w:rPr>
        <w:t>D</w:t>
      </w:r>
      <w:r>
        <w:rPr>
          <w:rFonts w:hint="eastAsia" w:ascii="仿宋" w:hAnsi="仿宋" w:eastAsia="仿宋"/>
          <w:sz w:val="28"/>
          <w:szCs w:val="28"/>
        </w:rPr>
        <w:t>四种类型。A类专业实践比例≧80%、B类专业实践比例70%-80%、C类专业实践比例60%-70%、D类专业实践比例50%-60%。各类专业分布情况：A类专业7个，占比17.95%；B类专业15个占比38.46%； C类专业9个占比23.08%；D类专业8个占比20.51%。通过对实践教学占比的专业分类，明确并细化各专业的实践教学定位和具体内容，实现其专业建设的科学投入、精细管理与评价。紧抓职业院校建设的痛点和难点，持续提高专业建设质量和运行水平，摸准职业教育人才市场供需的脉搏，提高职业教育高技能人才的能力培养内涵，满足用人需求。</w:t>
      </w:r>
    </w:p>
    <w:p>
      <w:pPr>
        <w:pStyle w:val="39"/>
        <w:ind w:left="360" w:firstLine="281" w:firstLineChars="100"/>
        <w:rPr>
          <w:rFonts w:ascii="仿宋" w:hAnsi="仿宋" w:eastAsia="仿宋"/>
          <w:b/>
          <w:bCs/>
          <w:sz w:val="28"/>
          <w:szCs w:val="28"/>
        </w:rPr>
      </w:pPr>
      <w:r>
        <w:rPr>
          <w:rFonts w:hint="eastAsia" w:ascii="仿宋" w:hAnsi="仿宋" w:eastAsia="仿宋"/>
          <w:b/>
          <w:bCs/>
          <w:sz w:val="28"/>
          <w:szCs w:val="28"/>
        </w:rPr>
        <w:t>第四，</w:t>
      </w:r>
      <w:bookmarkStart w:id="192" w:name="_Hlk121494732"/>
      <w:r>
        <w:rPr>
          <w:rFonts w:hint="eastAsia" w:ascii="仿宋" w:hAnsi="仿宋" w:eastAsia="仿宋"/>
          <w:b/>
          <w:bCs/>
          <w:sz w:val="28"/>
          <w:szCs w:val="28"/>
        </w:rPr>
        <w:t>推进“高博特色课”建设</w:t>
      </w:r>
      <w:bookmarkEnd w:id="192"/>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推进“高博特色课”建设，培养学生的生活生存能力和人生积极态度。开发数量已达14门（见案例8）。</w:t>
      </w:r>
    </w:p>
    <w:p>
      <w:pPr>
        <w:pStyle w:val="39"/>
        <w:ind w:left="360" w:firstLine="281" w:firstLineChars="100"/>
        <w:rPr>
          <w:rFonts w:ascii="仿宋" w:hAnsi="仿宋" w:eastAsia="仿宋"/>
          <w:b/>
          <w:bCs/>
          <w:sz w:val="28"/>
          <w:szCs w:val="28"/>
        </w:rPr>
      </w:pPr>
      <w:r>
        <w:rPr>
          <w:rFonts w:hint="eastAsia" w:ascii="仿宋" w:hAnsi="仿宋" w:eastAsia="仿宋"/>
          <w:b/>
          <w:bCs/>
          <w:sz w:val="28"/>
          <w:szCs w:val="28"/>
        </w:rPr>
        <w:t>第五，</w:t>
      </w:r>
      <w:bookmarkStart w:id="193" w:name="_Hlk121579469"/>
      <w:r>
        <w:rPr>
          <w:rFonts w:hint="eastAsia" w:ascii="仿宋" w:hAnsi="仿宋" w:eastAsia="仿宋"/>
          <w:b/>
          <w:bCs/>
          <w:sz w:val="28"/>
          <w:szCs w:val="28"/>
        </w:rPr>
        <w:t>有力推进信息化教学管理的不断迭代与升级</w:t>
      </w:r>
      <w:bookmarkEnd w:id="193"/>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伴随信息化建设进程，应对疫情，变危为机。有力推进信息化教学管理的不断迭代与升级。该校</w:t>
      </w:r>
      <w:r>
        <w:rPr>
          <w:rFonts w:ascii="仿宋" w:hAnsi="仿宋" w:eastAsia="仿宋"/>
          <w:sz w:val="28"/>
          <w:szCs w:val="28"/>
        </w:rPr>
        <w:t>对正方教务管理系统进行了全面升级，组织了多次教学管理人员和教师业务培训工作会议，积极开拓探索有效的信息化教学管理功能应用，实现人才培养方案管理、学分置换（学分银行）管理、毕业设计过程性管理、免修免考等自定义审批流程跟踪管理、教务微信公众号消息推送</w:t>
      </w:r>
      <w:r>
        <w:rPr>
          <w:rFonts w:hint="eastAsia" w:ascii="仿宋" w:hAnsi="仿宋" w:eastAsia="仿宋"/>
          <w:sz w:val="28"/>
          <w:szCs w:val="28"/>
        </w:rPr>
        <w:t>、企业微信教学管理业务审核</w:t>
      </w:r>
      <w:r>
        <w:rPr>
          <w:rFonts w:ascii="仿宋" w:hAnsi="仿宋" w:eastAsia="仿宋"/>
          <w:sz w:val="28"/>
          <w:szCs w:val="28"/>
        </w:rPr>
        <w:t>等教学信息化管理应用，为该校师生提供全面快捷的教学管理服务，提升教务管理效率和水平。学校进一步深化与超星公司合作，推行超星“一平三端”网络教学综合服务平台在教学管理工作中多维度的应用，助力教师在疫情防控期间更好的开展线上教学工作。充分利用好“一平三端”管理端的大数据平台功能，实现了班级考勤、授课进度计划表、督导听课等信息化管理，实现了对学生学习行为信息的全面搜集，</w:t>
      </w:r>
      <w:r>
        <w:rPr>
          <w:rFonts w:hint="eastAsia" w:ascii="仿宋" w:hAnsi="仿宋" w:eastAsia="仿宋"/>
          <w:sz w:val="28"/>
          <w:szCs w:val="28"/>
        </w:rPr>
        <w:t>教师信息化教学在线培训记录与考核，</w:t>
      </w:r>
      <w:r>
        <w:rPr>
          <w:rFonts w:ascii="仿宋" w:hAnsi="仿宋" w:eastAsia="仿宋"/>
          <w:sz w:val="28"/>
          <w:szCs w:val="28"/>
        </w:rPr>
        <w:t>实现了学校和教师各方面信息的多维关联，建设有关学校发展和教师成长的信息化档案，进一步提高学校教学管理部门和教师的数据意识和技术。</w:t>
      </w:r>
      <w:r>
        <w:rPr>
          <w:rFonts w:hint="eastAsia" w:ascii="仿宋" w:hAnsi="仿宋" w:eastAsia="仿宋"/>
          <w:sz w:val="28"/>
          <w:szCs w:val="28"/>
        </w:rPr>
        <w:t>该校教学管理的信息技术化已成为一种特色体现，在具体的教学运行和质量管理中发挥着重要作用。</w:t>
      </w:r>
    </w:p>
    <w:p>
      <w:pPr>
        <w:pStyle w:val="39"/>
        <w:ind w:left="360" w:firstLine="281" w:firstLineChars="100"/>
        <w:rPr>
          <w:rFonts w:ascii="仿宋" w:hAnsi="仿宋" w:eastAsia="仿宋"/>
          <w:b/>
          <w:bCs/>
          <w:sz w:val="28"/>
          <w:szCs w:val="28"/>
        </w:rPr>
      </w:pPr>
      <w:r>
        <w:rPr>
          <w:rFonts w:hint="eastAsia" w:ascii="仿宋" w:hAnsi="仿宋" w:eastAsia="仿宋"/>
          <w:b/>
          <w:bCs/>
          <w:sz w:val="28"/>
          <w:szCs w:val="28"/>
        </w:rPr>
        <w:t>第六，持续探索过程评价的价值与作用</w:t>
      </w:r>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根据教学评价改革要求，“改进结果评价，强化过程评价，探索增值评价，健全综合评价”。该校高度重视教学评价改革工作的持续推进。特别是在过程评价方面形成了特色。学生的课程考试考核更注重过程，该校努力实现学生的学业评价为主的课程评价。倡导教师落实以学生为中心的理念，根据其课程性质确定具体考核方式；出台《教师教学工作量考核办法》，对教师教学评价持续优化、细化和量化。教学质量管理，督导室紧抓期末考试这个牛鼻子，培育良好学风教风，积聚课程内涵。自2</w:t>
      </w:r>
      <w:r>
        <w:rPr>
          <w:rFonts w:ascii="仿宋" w:hAnsi="仿宋" w:eastAsia="仿宋"/>
          <w:sz w:val="28"/>
          <w:szCs w:val="28"/>
        </w:rPr>
        <w:t>016</w:t>
      </w:r>
      <w:r>
        <w:rPr>
          <w:rFonts w:hint="eastAsia" w:ascii="仿宋" w:hAnsi="仿宋" w:eastAsia="仿宋"/>
          <w:sz w:val="28"/>
          <w:szCs w:val="28"/>
        </w:rPr>
        <w:t>年以来，每学期必查，</w:t>
      </w:r>
      <w:r>
        <w:rPr>
          <w:rFonts w:ascii="仿宋" w:hAnsi="仿宋" w:eastAsia="仿宋"/>
          <w:sz w:val="28"/>
          <w:szCs w:val="28"/>
        </w:rPr>
        <w:t>按照</w:t>
      </w:r>
      <w:r>
        <w:rPr>
          <w:rFonts w:hint="eastAsia" w:ascii="仿宋" w:hAnsi="仿宋" w:eastAsia="仿宋"/>
          <w:sz w:val="28"/>
          <w:szCs w:val="28"/>
        </w:rPr>
        <w:t>考核定位、考核形式确定、</w:t>
      </w:r>
      <w:r>
        <w:rPr>
          <w:rFonts w:ascii="仿宋" w:hAnsi="仿宋" w:eastAsia="仿宋"/>
          <w:sz w:val="28"/>
          <w:szCs w:val="28"/>
        </w:rPr>
        <w:t>命题、监考、判卷、核分、</w:t>
      </w:r>
      <w:r>
        <w:rPr>
          <w:rFonts w:hint="eastAsia" w:ascii="仿宋" w:hAnsi="仿宋" w:eastAsia="仿宋"/>
          <w:sz w:val="28"/>
          <w:szCs w:val="28"/>
        </w:rPr>
        <w:t>成绩、</w:t>
      </w:r>
      <w:r>
        <w:rPr>
          <w:rFonts w:ascii="仿宋" w:hAnsi="仿宋" w:eastAsia="仿宋"/>
          <w:sz w:val="28"/>
          <w:szCs w:val="28"/>
        </w:rPr>
        <w:t>考卷</w:t>
      </w:r>
      <w:r>
        <w:rPr>
          <w:rFonts w:hint="eastAsia" w:ascii="仿宋" w:hAnsi="仿宋" w:eastAsia="仿宋"/>
          <w:sz w:val="28"/>
          <w:szCs w:val="28"/>
        </w:rPr>
        <w:t>及课程教学</w:t>
      </w:r>
      <w:r>
        <w:rPr>
          <w:rFonts w:ascii="仿宋" w:hAnsi="仿宋" w:eastAsia="仿宋"/>
          <w:sz w:val="28"/>
          <w:szCs w:val="28"/>
        </w:rPr>
        <w:t>分析等环节</w:t>
      </w:r>
      <w:r>
        <w:rPr>
          <w:rFonts w:hint="eastAsia" w:ascii="仿宋" w:hAnsi="仿宋" w:eastAsia="仿宋"/>
          <w:sz w:val="28"/>
          <w:szCs w:val="28"/>
        </w:rPr>
        <w:t>要求</w:t>
      </w:r>
      <w:r>
        <w:rPr>
          <w:rFonts w:ascii="仿宋" w:hAnsi="仿宋" w:eastAsia="仿宋"/>
          <w:sz w:val="28"/>
          <w:szCs w:val="28"/>
        </w:rPr>
        <w:t>。重点检查试卷的</w:t>
      </w:r>
      <w:r>
        <w:rPr>
          <w:rFonts w:hint="eastAsia" w:ascii="仿宋" w:hAnsi="仿宋" w:eastAsia="仿宋"/>
          <w:sz w:val="28"/>
          <w:szCs w:val="28"/>
        </w:rPr>
        <w:t>科学性、</w:t>
      </w:r>
      <w:r>
        <w:rPr>
          <w:rFonts w:ascii="仿宋" w:hAnsi="仿宋" w:eastAsia="仿宋"/>
          <w:sz w:val="28"/>
          <w:szCs w:val="28"/>
        </w:rPr>
        <w:t>完整性</w:t>
      </w:r>
      <w:r>
        <w:rPr>
          <w:rFonts w:hint="eastAsia" w:ascii="仿宋" w:hAnsi="仿宋" w:eastAsia="仿宋"/>
          <w:sz w:val="28"/>
          <w:szCs w:val="28"/>
        </w:rPr>
        <w:t>和</w:t>
      </w:r>
      <w:r>
        <w:rPr>
          <w:rFonts w:ascii="仿宋" w:hAnsi="仿宋" w:eastAsia="仿宋"/>
          <w:sz w:val="28"/>
          <w:szCs w:val="28"/>
        </w:rPr>
        <w:t>准确性。</w:t>
      </w:r>
      <w:r>
        <w:rPr>
          <w:rFonts w:hint="eastAsia" w:ascii="仿宋" w:hAnsi="仿宋" w:eastAsia="仿宋"/>
          <w:sz w:val="28"/>
          <w:szCs w:val="28"/>
        </w:rPr>
        <w:t>试卷抽查立足该校现实特点和质量管理的阶段要求，形成突出重点的全方位、多角度、系统性抽样方案。根据不同的原则、依据和抽样方案，或是考试课程类型全覆盖，突出重点专业及重点课程；注重学院的各类评教反映，结合教学督导听课评教意见；形成专职教师和外聘教师相结合的样本对象。或是</w:t>
      </w:r>
      <w:r>
        <w:rPr>
          <w:rFonts w:ascii="仿宋" w:hAnsi="仿宋" w:eastAsia="仿宋"/>
          <w:sz w:val="28"/>
          <w:szCs w:val="28"/>
        </w:rPr>
        <w:t>根据教务</w:t>
      </w:r>
      <w:r>
        <w:rPr>
          <w:rFonts w:hint="eastAsia" w:ascii="仿宋" w:hAnsi="仿宋" w:eastAsia="仿宋"/>
          <w:sz w:val="28"/>
          <w:szCs w:val="28"/>
        </w:rPr>
        <w:t>正方</w:t>
      </w:r>
      <w:r>
        <w:rPr>
          <w:rFonts w:ascii="仿宋" w:hAnsi="仿宋" w:eastAsia="仿宋"/>
          <w:sz w:val="28"/>
          <w:szCs w:val="28"/>
        </w:rPr>
        <w:t>系统对录入成绩进行分析，形成了不同分数段人数占比的考试课程总列表</w:t>
      </w:r>
      <w:r>
        <w:rPr>
          <w:rFonts w:hint="eastAsia" w:ascii="仿宋" w:hAnsi="仿宋" w:eastAsia="仿宋"/>
          <w:sz w:val="28"/>
          <w:szCs w:val="28"/>
        </w:rPr>
        <w:t>，依</w:t>
      </w:r>
      <w:r>
        <w:rPr>
          <w:rFonts w:ascii="仿宋" w:hAnsi="仿宋" w:eastAsia="仿宋"/>
          <w:sz w:val="28"/>
          <w:szCs w:val="28"/>
        </w:rPr>
        <w:t>据成绩</w:t>
      </w:r>
      <w:r>
        <w:rPr>
          <w:rFonts w:hint="eastAsia" w:ascii="仿宋" w:hAnsi="仿宋" w:eastAsia="仿宋"/>
          <w:sz w:val="28"/>
          <w:szCs w:val="28"/>
        </w:rPr>
        <w:t>分布反映的</w:t>
      </w:r>
      <w:r>
        <w:rPr>
          <w:rFonts w:ascii="仿宋" w:hAnsi="仿宋" w:eastAsia="仿宋"/>
          <w:sz w:val="28"/>
          <w:szCs w:val="28"/>
        </w:rPr>
        <w:t>突出问题，由督导室集体研究形成</w:t>
      </w:r>
      <w:r>
        <w:rPr>
          <w:rFonts w:hint="eastAsia" w:ascii="仿宋" w:hAnsi="仿宋" w:eastAsia="仿宋"/>
          <w:sz w:val="28"/>
          <w:szCs w:val="28"/>
        </w:rPr>
        <w:t>试</w:t>
      </w:r>
      <w:r>
        <w:rPr>
          <w:rFonts w:ascii="仿宋" w:hAnsi="仿宋" w:eastAsia="仿宋"/>
          <w:sz w:val="28"/>
          <w:szCs w:val="28"/>
        </w:rPr>
        <w:t>卷抽样标准</w:t>
      </w:r>
      <w:r>
        <w:rPr>
          <w:rFonts w:hint="eastAsia" w:ascii="仿宋" w:hAnsi="仿宋" w:eastAsia="仿宋"/>
          <w:sz w:val="28"/>
          <w:szCs w:val="28"/>
        </w:rPr>
        <w:t>，对包括考试课和考查课的所有考核课程进行随机抽样。或是</w:t>
      </w:r>
      <w:r>
        <w:rPr>
          <w:rFonts w:ascii="仿宋" w:hAnsi="仿宋" w:eastAsia="仿宋"/>
          <w:sz w:val="28"/>
          <w:szCs w:val="28"/>
        </w:rPr>
        <w:t>在全部试卷分析的基础上，重点关注 90 分以上达到或超过 40%，不及格人数占比达到或超过 40%的试卷</w:t>
      </w:r>
      <w:r>
        <w:rPr>
          <w:rFonts w:hint="eastAsia" w:ascii="仿宋" w:hAnsi="仿宋" w:eastAsia="仿宋"/>
          <w:sz w:val="28"/>
          <w:szCs w:val="28"/>
        </w:rPr>
        <w:t>，同时关注以及督导对考试试题把关中给予的反馈，来确定试卷检查样本。或是</w:t>
      </w:r>
      <w:r>
        <w:rPr>
          <w:rFonts w:ascii="仿宋" w:hAnsi="仿宋" w:eastAsia="仿宋"/>
          <w:sz w:val="28"/>
          <w:szCs w:val="28"/>
        </w:rPr>
        <w:t>在参考以往随机抽样抽查的常见问题基础上，确定了专题抽查抽样原则和方案，重点关注新教师、新课程、课改</w:t>
      </w:r>
      <w:r>
        <w:rPr>
          <w:rFonts w:hint="eastAsia" w:ascii="仿宋" w:hAnsi="仿宋" w:eastAsia="仿宋"/>
          <w:sz w:val="28"/>
          <w:szCs w:val="28"/>
        </w:rPr>
        <w:t>项目</w:t>
      </w:r>
      <w:r>
        <w:rPr>
          <w:rFonts w:ascii="仿宋" w:hAnsi="仿宋" w:eastAsia="仿宋"/>
          <w:sz w:val="28"/>
          <w:szCs w:val="28"/>
        </w:rPr>
        <w:t>课程和试题检查</w:t>
      </w:r>
      <w:r>
        <w:rPr>
          <w:rFonts w:hint="eastAsia" w:ascii="仿宋" w:hAnsi="仿宋" w:eastAsia="仿宋"/>
          <w:sz w:val="28"/>
          <w:szCs w:val="28"/>
        </w:rPr>
        <w:t>应</w:t>
      </w:r>
      <w:r>
        <w:rPr>
          <w:rFonts w:ascii="仿宋" w:hAnsi="仿宋" w:eastAsia="仿宋"/>
          <w:sz w:val="28"/>
          <w:szCs w:val="28"/>
        </w:rPr>
        <w:t>追踪的课程考试情况</w:t>
      </w:r>
      <w:r>
        <w:rPr>
          <w:rFonts w:hint="eastAsia" w:ascii="仿宋" w:hAnsi="仿宋" w:eastAsia="仿宋"/>
          <w:sz w:val="28"/>
          <w:szCs w:val="28"/>
        </w:rPr>
        <w:t>，</w:t>
      </w:r>
      <w:r>
        <w:rPr>
          <w:rFonts w:ascii="仿宋" w:hAnsi="仿宋" w:eastAsia="仿宋"/>
          <w:sz w:val="28"/>
          <w:szCs w:val="28"/>
        </w:rPr>
        <w:t>以便在发现常规问题的同时助力课程改革，优化特色课程</w:t>
      </w:r>
      <w:r>
        <w:rPr>
          <w:rFonts w:hint="eastAsia" w:ascii="仿宋" w:hAnsi="仿宋" w:eastAsia="仿宋"/>
          <w:sz w:val="28"/>
          <w:szCs w:val="28"/>
        </w:rPr>
        <w:t>。或者直接抽取</w:t>
      </w:r>
      <w:r>
        <w:rPr>
          <w:rFonts w:ascii="仿宋" w:hAnsi="仿宋" w:eastAsia="仿宋"/>
          <w:sz w:val="28"/>
          <w:szCs w:val="28"/>
        </w:rPr>
        <w:t>考前考题检查有反馈的试卷、现场交卷较早的试卷、考试形式改革的科目</w:t>
      </w:r>
      <w:r>
        <w:rPr>
          <w:rFonts w:hint="eastAsia" w:ascii="仿宋" w:hAnsi="仿宋" w:eastAsia="仿宋"/>
          <w:sz w:val="28"/>
          <w:szCs w:val="28"/>
        </w:rPr>
        <w:t>试卷</w:t>
      </w:r>
      <w:r>
        <w:rPr>
          <w:rFonts w:ascii="仿宋" w:hAnsi="仿宋" w:eastAsia="仿宋"/>
          <w:sz w:val="28"/>
          <w:szCs w:val="28"/>
        </w:rPr>
        <w:t>。探寻交卷较早的内在原因，创新考试形式是否存在盲目性和考前考题抽检需调整的试卷事后追踪。</w:t>
      </w:r>
      <w:r>
        <w:rPr>
          <w:rFonts w:hint="eastAsia" w:ascii="仿宋" w:hAnsi="仿宋" w:eastAsia="仿宋"/>
          <w:sz w:val="28"/>
          <w:szCs w:val="28"/>
        </w:rPr>
        <w:t>或者</w:t>
      </w:r>
      <w:r>
        <w:rPr>
          <w:rFonts w:ascii="仿宋" w:hAnsi="仿宋" w:eastAsia="仿宋"/>
          <w:sz w:val="28"/>
          <w:szCs w:val="28"/>
        </w:rPr>
        <w:t>以首次承担新课教师和开启其教学生涯的新进老师所讲授课程为主</w:t>
      </w:r>
      <w:r>
        <w:rPr>
          <w:rFonts w:hint="eastAsia" w:ascii="仿宋" w:hAnsi="仿宋" w:eastAsia="仿宋"/>
          <w:sz w:val="28"/>
          <w:szCs w:val="28"/>
        </w:rPr>
        <w:t>；或者以</w:t>
      </w:r>
      <w:r>
        <w:rPr>
          <w:rFonts w:ascii="仿宋" w:hAnsi="仿宋" w:eastAsia="仿宋"/>
          <w:sz w:val="28"/>
          <w:szCs w:val="28"/>
        </w:rPr>
        <w:t>校级重点专业</w:t>
      </w:r>
      <w:r>
        <w:rPr>
          <w:rFonts w:hint="eastAsia" w:ascii="仿宋" w:hAnsi="仿宋" w:eastAsia="仿宋"/>
          <w:sz w:val="28"/>
          <w:szCs w:val="28"/>
        </w:rPr>
        <w:t>的</w:t>
      </w:r>
      <w:r>
        <w:rPr>
          <w:rFonts w:ascii="仿宋" w:hAnsi="仿宋" w:eastAsia="仿宋"/>
          <w:sz w:val="28"/>
          <w:szCs w:val="28"/>
        </w:rPr>
        <w:t>核心课程为主</w:t>
      </w:r>
      <w:r>
        <w:rPr>
          <w:rFonts w:hint="eastAsia" w:ascii="仿宋" w:hAnsi="仿宋" w:eastAsia="仿宋"/>
          <w:sz w:val="28"/>
          <w:szCs w:val="28"/>
        </w:rPr>
        <w:t>；或者对所有课程进行系统抽样或等距离抽样，</w:t>
      </w:r>
      <w:r>
        <w:rPr>
          <w:rFonts w:ascii="仿宋" w:hAnsi="仿宋" w:eastAsia="仿宋"/>
          <w:sz w:val="28"/>
          <w:szCs w:val="28"/>
        </w:rPr>
        <w:t>在规范检查的同时，重点检查授课教师的集体合作程度和非试卷考试所存在的问题</w:t>
      </w:r>
      <w:r>
        <w:rPr>
          <w:rFonts w:hint="eastAsia" w:ascii="仿宋" w:hAnsi="仿宋" w:eastAsia="仿宋"/>
          <w:sz w:val="28"/>
          <w:szCs w:val="28"/>
        </w:rPr>
        <w:t>。结合对教学运行过程的监控，把每学期的期末考试放在人才培养全过程中来定位，通过过程性、阶段性的检查及评价，推动了教学效果的不断改进，教学质量的不断进步，教师教学能力的持续提升。</w:t>
      </w:r>
    </w:p>
    <w:p>
      <w:pPr>
        <w:adjustRightInd w:val="0"/>
        <w:snapToGrid w:val="0"/>
        <w:spacing w:line="360" w:lineRule="auto"/>
        <w:ind w:firstLine="843" w:firstLineChars="300"/>
        <w:rPr>
          <w:rFonts w:ascii="仿宋" w:hAnsi="仿宋" w:eastAsia="仿宋"/>
          <w:b/>
          <w:bCs/>
          <w:sz w:val="28"/>
          <w:szCs w:val="28"/>
        </w:rPr>
      </w:pPr>
      <w:r>
        <w:rPr>
          <w:rFonts w:hint="eastAsia" w:ascii="仿宋" w:hAnsi="仿宋" w:eastAsia="仿宋"/>
          <w:b/>
          <w:bCs/>
          <w:sz w:val="28"/>
          <w:szCs w:val="28"/>
        </w:rPr>
        <w:t>第七，推动系统科学的</w:t>
      </w:r>
      <w:bookmarkStart w:id="194" w:name="_Hlk121572616"/>
      <w:r>
        <w:rPr>
          <w:rFonts w:hint="eastAsia" w:ascii="仿宋" w:hAnsi="仿宋" w:eastAsia="仿宋"/>
          <w:b/>
          <w:bCs/>
          <w:sz w:val="28"/>
          <w:szCs w:val="28"/>
        </w:rPr>
        <w:t>在线教学管理模式</w:t>
      </w:r>
      <w:bookmarkEnd w:id="194"/>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在应对疫情危机所采取的在线教学中，坚持探索其教学运行及管理规律，形成了成效明显的在线教学管理模式。从2020年疫情爆发至今已满3年，三个学期在线教学分别为1</w:t>
      </w:r>
      <w:r>
        <w:rPr>
          <w:rFonts w:ascii="仿宋" w:hAnsi="仿宋" w:eastAsia="仿宋"/>
          <w:sz w:val="28"/>
          <w:szCs w:val="28"/>
        </w:rPr>
        <w:t>0</w:t>
      </w:r>
      <w:r>
        <w:rPr>
          <w:rFonts w:hint="eastAsia" w:ascii="仿宋" w:hAnsi="仿宋" w:eastAsia="仿宋"/>
          <w:sz w:val="28"/>
          <w:szCs w:val="28"/>
        </w:rPr>
        <w:t>周、4周和1</w:t>
      </w:r>
      <w:r>
        <w:rPr>
          <w:rFonts w:ascii="仿宋" w:hAnsi="仿宋" w:eastAsia="仿宋"/>
          <w:sz w:val="28"/>
          <w:szCs w:val="28"/>
        </w:rPr>
        <w:t>2</w:t>
      </w:r>
      <w:r>
        <w:rPr>
          <w:rFonts w:hint="eastAsia" w:ascii="仿宋" w:hAnsi="仿宋" w:eastAsia="仿宋"/>
          <w:sz w:val="28"/>
          <w:szCs w:val="28"/>
        </w:rPr>
        <w:t>周。该校每次启动的在校教学，都能做到系统考虑，总体筹划，探索在线教学规律，提高在线教学质量。从2</w:t>
      </w:r>
      <w:r>
        <w:rPr>
          <w:rFonts w:ascii="仿宋" w:hAnsi="仿宋" w:eastAsia="仿宋"/>
          <w:sz w:val="28"/>
          <w:szCs w:val="28"/>
        </w:rPr>
        <w:t>020</w:t>
      </w:r>
      <w:r>
        <w:rPr>
          <w:rFonts w:hint="eastAsia" w:ascii="仿宋" w:hAnsi="仿宋" w:eastAsia="仿宋"/>
          <w:sz w:val="28"/>
          <w:szCs w:val="28"/>
        </w:rPr>
        <w:t>年3月出台“苏州高博软件技术职业学院线上教学督导督查意见”到2</w:t>
      </w:r>
      <w:r>
        <w:rPr>
          <w:rFonts w:ascii="仿宋" w:hAnsi="仿宋" w:eastAsia="仿宋"/>
          <w:sz w:val="28"/>
          <w:szCs w:val="28"/>
        </w:rPr>
        <w:t>022</w:t>
      </w:r>
      <w:r>
        <w:rPr>
          <w:rFonts w:hint="eastAsia" w:ascii="仿宋" w:hAnsi="仿宋" w:eastAsia="仿宋"/>
          <w:sz w:val="28"/>
          <w:szCs w:val="28"/>
        </w:rPr>
        <w:t>年3月的修订；从在线教学启动初及时定制的在线教学督导督查记录表到多次优化并提炼成为嵌入手机学习通</w:t>
      </w:r>
      <w:r>
        <w:rPr>
          <w:rFonts w:ascii="仿宋" w:hAnsi="仿宋" w:eastAsia="仿宋"/>
          <w:sz w:val="28"/>
          <w:szCs w:val="28"/>
        </w:rPr>
        <w:t>APP</w:t>
      </w:r>
      <w:r>
        <w:rPr>
          <w:rFonts w:hint="eastAsia" w:ascii="仿宋" w:hAnsi="仿宋" w:eastAsia="仿宋"/>
          <w:sz w:val="28"/>
          <w:szCs w:val="28"/>
        </w:rPr>
        <w:t>的在线听课评教表，形成了电脑查课，手机评课的改进和升级。借助企业微信等信息工具，从最初的二级学院在线教学一天一报到全体授课教师的在线教学一周一报和督导查课的一周一报、两周一报、月报和学期报。严格管理，密集反馈，发现问题，及时解决，持续改进。始终坚持“运行与督查并进”的在线教学管理思路。从启动、优化，到进阶，从应急性走向常规性。立足整体教学目标和要求，运行围绕“学期”、“进度”、“效性”；督查围绕“常态”、“规范”、“全面”等关键词，实现了在线教学质量监控消灭盲区，没有空白，不留死角。坚持 “避免盲目性，推动制度化，实现规范管理”的在线教学管理策略，构建全方位、多层次、综合性教学督导督查体系。强化在线督导督查的技术培训和在线咨询及技术支持，实现督导在线听课，后台查课，再到最后的电脑查课，手机评课落地。创办并发布在线媒体《高博电子周报》共1</w:t>
      </w:r>
      <w:r>
        <w:rPr>
          <w:rFonts w:ascii="仿宋" w:hAnsi="仿宋" w:eastAsia="仿宋"/>
          <w:sz w:val="28"/>
          <w:szCs w:val="28"/>
        </w:rPr>
        <w:t>0</w:t>
      </w:r>
      <w:r>
        <w:rPr>
          <w:rFonts w:hint="eastAsia" w:ascii="仿宋" w:hAnsi="仿宋" w:eastAsia="仿宋"/>
          <w:sz w:val="28"/>
          <w:szCs w:val="28"/>
        </w:rPr>
        <w:t>期，设置 “备忘录”、“知识窗”、“指南针”、“样板坊”、“加油站”、“警示台”等多项板块，反映实情，提供辅导、学习文件、交流心得、展示风采，发布通报。或是运行监控采取周报告方式，对在线教学运行问题及分析、对策及要求、反思和总结、典范或事例，在全校教师微信群里和学校督导群里发布，及时整改，形成经验，提炼认识，促进成长，在引导在线管理质量走向，发布并反馈信息，研究并解决问题，展示经验成果等方面，发挥了积极有效的作用。</w:t>
      </w:r>
    </w:p>
    <w:p>
      <w:pPr>
        <w:adjustRightInd w:val="0"/>
        <w:snapToGrid w:val="0"/>
        <w:spacing w:line="360" w:lineRule="auto"/>
        <w:ind w:firstLine="562" w:firstLineChars="200"/>
        <w:rPr>
          <w:rFonts w:ascii="仿宋" w:hAnsi="仿宋" w:eastAsia="仿宋"/>
          <w:b/>
          <w:bCs/>
          <w:sz w:val="28"/>
          <w:szCs w:val="28"/>
        </w:rPr>
      </w:pPr>
      <w:r>
        <w:rPr>
          <w:rFonts w:hint="eastAsia" w:ascii="仿宋" w:hAnsi="仿宋" w:eastAsia="仿宋"/>
          <w:b/>
          <w:bCs/>
          <w:sz w:val="28"/>
          <w:szCs w:val="28"/>
        </w:rPr>
        <w:t>第八，</w:t>
      </w:r>
      <w:bookmarkStart w:id="195" w:name="_Hlk121572792"/>
      <w:r>
        <w:rPr>
          <w:rFonts w:hint="eastAsia" w:ascii="仿宋" w:hAnsi="仿宋" w:eastAsia="仿宋"/>
          <w:b/>
          <w:bCs/>
          <w:sz w:val="28"/>
          <w:szCs w:val="28"/>
        </w:rPr>
        <w:t>建设“校院结合、督导为主、教督融合”的教学质量管理</w:t>
      </w:r>
      <w:bookmarkEnd w:id="195"/>
      <w:r>
        <w:rPr>
          <w:rFonts w:hint="eastAsia" w:ascii="仿宋" w:hAnsi="仿宋" w:eastAsia="仿宋"/>
          <w:b/>
          <w:bCs/>
          <w:sz w:val="28"/>
          <w:szCs w:val="28"/>
        </w:rPr>
        <w:t>运行机制与模式</w:t>
      </w:r>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作为民办院校，教学规范是该校教学质量管理始终关注的基本目标。针对该校基础差，青年教师集中的特点，借助 “以二级学院为重心的教学运行管理体系及机制”和“特聘教授制度”，建设并形成“校院结合、督导为主、教督融合”的教学质量管理运行机制与模式。由各二级学院推荐一名特聘教授，学校聘任为一级督导（兼职），按照专业相近原则，实行对口负责一个二级学院开展质量监控和常规督导听课，有效发挥其专业优势。二级督导职能由各二级学院成立督导组自行安排并管理。设计该校特有的《教师听课评教记录表》并不断优化，最后嵌入手机A</w:t>
      </w:r>
      <w:r>
        <w:rPr>
          <w:rFonts w:ascii="仿宋" w:hAnsi="仿宋" w:eastAsia="仿宋"/>
          <w:sz w:val="28"/>
          <w:szCs w:val="28"/>
        </w:rPr>
        <w:t>PP</w:t>
      </w:r>
      <w:r>
        <w:rPr>
          <w:rFonts w:hint="eastAsia" w:ascii="仿宋" w:hAnsi="仿宋" w:eastAsia="仿宋"/>
          <w:sz w:val="28"/>
          <w:szCs w:val="28"/>
        </w:rPr>
        <w:t>，实现课堂听课，手机评课，除督导进程中的个性问题及时反馈以外，学期结束前各位督导需上交其“学期听课报表”，报送其听课情况并反馈教学督导中发现的共性问题和主要建议，督导室汇总，发布通报，追踪个人及二级学院整改并用于校级层面的制度化改进。持续推动各二级学院及授课教师的诊改提高。改进并优化《教学与教学管理事故认定与处理条例》，设置“轻度违规行为”为事故警示域，长鸣事故警钟，消灭事故萌芽，拒绝事故发生。并努力做到明确责任，强化教育，细化流程，处理科学。创新专任教师常规督导免听课制度，连续两年进入校级督导听课排序前列和参加重要课堂教学类比赛获奖的教师获得免听课资格，以期进一步调动广大教师教学工作积极性，推进有效课堂建设。在推进督导听课内涵建设进程中，明确并强化督导工作的重点、难点和弱点，高度关注并持续改进新进教师授课、在岗教师讲授新课、专业综合实训课程授课、顶岗实习实训监管和校内外兼职或兼课教师授课等专项督导内容，在运行监管上，坚持重在对教学过程监控和教师教学能力指导的原则，发挥一级督导的专业优势，在做好常规督导基础上，组织开展“教师教学包抽查”、“毕业班专业综合实训课程督导”、“期末试卷抽查”、“毕业班顶岗实习检查”、“毕业设计（论文）抽查”等多类专项督导活动。在督导进程中，做实青年教师的教学与科研指导工作，实现教学质量管理实质性改进和青年教师快速成长。</w:t>
      </w:r>
    </w:p>
    <w:p>
      <w:pPr>
        <w:adjustRightInd w:val="0"/>
        <w:snapToGrid w:val="0"/>
        <w:spacing w:line="300" w:lineRule="auto"/>
        <w:ind w:firstLine="562" w:firstLineChars="200"/>
        <w:jc w:val="left"/>
        <w:rPr>
          <w:rFonts w:ascii="仿宋_GB2312" w:eastAsia="仿宋_GB2312" w:hAnsiTheme="minorEastAsia"/>
          <w:b/>
          <w:bCs/>
          <w:sz w:val="28"/>
          <w:szCs w:val="28"/>
        </w:rPr>
      </w:pPr>
      <w:r>
        <w:rPr>
          <w:rFonts w:hint="eastAsia" w:ascii="仿宋_GB2312" w:eastAsia="仿宋_GB2312" w:hAnsiTheme="minorEastAsia"/>
          <w:b/>
          <w:bCs/>
          <w:sz w:val="28"/>
          <w:szCs w:val="28"/>
        </w:rPr>
        <w:t>第九，形成了全面反映教学质量进程的特色媒体《高博督导简报》</w:t>
      </w:r>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在2</w:t>
      </w:r>
      <w:r>
        <w:rPr>
          <w:rFonts w:ascii="仿宋" w:hAnsi="仿宋" w:eastAsia="仿宋"/>
          <w:sz w:val="28"/>
          <w:szCs w:val="28"/>
        </w:rPr>
        <w:t>016</w:t>
      </w:r>
      <w:r>
        <w:rPr>
          <w:rFonts w:hint="eastAsia" w:ascii="仿宋" w:hAnsi="仿宋" w:eastAsia="仿宋"/>
          <w:sz w:val="28"/>
          <w:szCs w:val="28"/>
        </w:rPr>
        <w:t>年下半年，该校参加了省级高职院校评估，搭上了江苏省职业高校办学质量评估末班车，自此通过评估后，坚定地把教学质量建设与管理放在突出地位。为了强化教学督导职能，有效实现“以导为主，导督结合”的原则，从2</w:t>
      </w:r>
      <w:r>
        <w:rPr>
          <w:rFonts w:ascii="仿宋" w:hAnsi="仿宋" w:eastAsia="仿宋"/>
          <w:sz w:val="28"/>
          <w:szCs w:val="28"/>
        </w:rPr>
        <w:t>017</w:t>
      </w:r>
      <w:r>
        <w:rPr>
          <w:rFonts w:hint="eastAsia" w:ascii="仿宋" w:hAnsi="仿宋" w:eastAsia="仿宋"/>
          <w:sz w:val="28"/>
          <w:szCs w:val="28"/>
        </w:rPr>
        <w:t>年开始突出并强化学校督导职能，由学校督导室创办</w:t>
      </w:r>
      <w:bookmarkStart w:id="196" w:name="_Hlk121577502"/>
      <w:r>
        <w:rPr>
          <w:rFonts w:hint="eastAsia" w:ascii="仿宋" w:hAnsi="仿宋" w:eastAsia="仿宋"/>
          <w:sz w:val="28"/>
          <w:szCs w:val="28"/>
        </w:rPr>
        <w:t>了《高博督导简报》</w:t>
      </w:r>
      <w:bookmarkEnd w:id="196"/>
      <w:r>
        <w:rPr>
          <w:rFonts w:hint="eastAsia" w:ascii="仿宋" w:hAnsi="仿宋" w:eastAsia="仿宋"/>
          <w:sz w:val="28"/>
          <w:szCs w:val="28"/>
        </w:rPr>
        <w:t>，作为展示该校教学督导工作进展和教学过程质量的媒介，至今已发布到总3</w:t>
      </w:r>
      <w:r>
        <w:rPr>
          <w:rFonts w:ascii="仿宋" w:hAnsi="仿宋" w:eastAsia="仿宋"/>
          <w:sz w:val="28"/>
          <w:szCs w:val="28"/>
        </w:rPr>
        <w:t>7</w:t>
      </w:r>
      <w:r>
        <w:rPr>
          <w:rFonts w:hint="eastAsia" w:ascii="仿宋" w:hAnsi="仿宋" w:eastAsia="仿宋"/>
          <w:sz w:val="28"/>
          <w:szCs w:val="28"/>
        </w:rPr>
        <w:t>期。通过教学要闻、育人星火、荣誉播报、督导建设、督导通报、督导研究、质量前沿、质量案例、工作交流等多种板块，全面反映该校教学管理运行过程和育人成果，有效发挥其以导为主的督导作用。在连续7年出刊进程中，不断总结反思，改版优化，挖掘其内容和特色，不仅使之成为该校教学质量管理的重要载体，现也已成为该校编撰年度质量报告的重要事实资料来源和良好基础。2022年借助学校启动专业贯标活动之契机，强化并突出“特色建设”宣传及展示，启动并首次发布“苏州高博软件技术职业学院特色建设报告”，推进并持续反映该校的特色办学成果。</w:t>
      </w:r>
    </w:p>
    <w:p>
      <w:pPr>
        <w:adjustRightInd w:val="0"/>
        <w:snapToGrid w:val="0"/>
        <w:spacing w:line="300" w:lineRule="auto"/>
        <w:ind w:firstLine="560" w:firstLineChars="200"/>
        <w:jc w:val="left"/>
        <w:rPr>
          <w:rFonts w:ascii="仿宋_GB2312" w:eastAsia="仿宋_GB2312" w:hAnsiTheme="minorEastAsia"/>
          <w:sz w:val="28"/>
          <w:szCs w:val="28"/>
        </w:rPr>
      </w:pPr>
    </w:p>
    <w:p>
      <w:pPr>
        <w:adjustRightInd w:val="0"/>
        <w:snapToGrid w:val="0"/>
        <w:spacing w:line="360" w:lineRule="auto"/>
        <w:ind w:firstLine="482" w:firstLineChars="200"/>
        <w:jc w:val="left"/>
        <w:outlineLvl w:val="2"/>
        <w:rPr>
          <w:rFonts w:ascii="仿宋_GB2312" w:hAnsi="宋体" w:eastAsia="仿宋_GB2312"/>
          <w:b/>
          <w:color w:val="000000" w:themeColor="text1"/>
          <w:sz w:val="24"/>
          <w:szCs w:val="24"/>
        </w:rPr>
      </w:pPr>
      <w:bookmarkStart w:id="197" w:name="_Toc124087896"/>
      <w:r>
        <w:rPr>
          <w:rFonts w:hint="eastAsia" w:ascii="仿宋_GB2312" w:hAnsi="宋体" w:eastAsia="仿宋_GB2312"/>
          <w:b/>
          <w:color w:val="000000" w:themeColor="text1"/>
          <w:sz w:val="24"/>
          <w:szCs w:val="24"/>
        </w:rPr>
        <w:t>案例</w:t>
      </w:r>
      <w:r>
        <w:rPr>
          <w:rFonts w:ascii="仿宋_GB2312" w:hAnsi="宋体" w:eastAsia="仿宋_GB2312"/>
          <w:b/>
          <w:color w:val="000000" w:themeColor="text1"/>
          <w:sz w:val="24"/>
          <w:szCs w:val="24"/>
        </w:rPr>
        <w:t>8</w:t>
      </w:r>
      <w:r>
        <w:rPr>
          <w:rFonts w:hint="eastAsia" w:ascii="仿宋_GB2312" w:hAnsi="宋体" w:eastAsia="仿宋_GB2312"/>
          <w:b/>
          <w:color w:val="000000" w:themeColor="text1"/>
          <w:sz w:val="24"/>
          <w:szCs w:val="24"/>
        </w:rPr>
        <w:t>：</w:t>
      </w:r>
      <w:bookmarkStart w:id="198" w:name="_Hlk118984425"/>
      <w:r>
        <w:rPr>
          <w:rFonts w:hint="eastAsia" w:ascii="仿宋_GB2312" w:hAnsi="宋体" w:eastAsia="仿宋_GB2312"/>
          <w:b/>
          <w:color w:val="000000" w:themeColor="text1"/>
          <w:sz w:val="24"/>
          <w:szCs w:val="24"/>
        </w:rPr>
        <w:t>【新颖独特的“高博特色”课程】</w:t>
      </w:r>
      <w:bookmarkEnd w:id="187"/>
      <w:bookmarkEnd w:id="197"/>
      <w:bookmarkEnd w:id="198"/>
    </w:p>
    <w:p>
      <w:pPr>
        <w:widowControl/>
        <w:spacing w:line="360" w:lineRule="auto"/>
        <w:ind w:firstLine="480" w:firstLineChars="200"/>
        <w:rPr>
          <w:rFonts w:ascii="楷体_GB2312" w:hAnsi="宋体" w:eastAsia="楷体_GB2312" w:cs="Times New Roman"/>
          <w:color w:val="000000" w:themeColor="text1"/>
          <w:kern w:val="0"/>
          <w:sz w:val="24"/>
          <w:szCs w:val="24"/>
        </w:rPr>
      </w:pPr>
      <w:r>
        <w:rPr>
          <w:rFonts w:ascii="楷体_GB2312" w:hAnsi="宋体" w:eastAsia="楷体_GB2312" w:cs="Times New Roman"/>
          <w:color w:val="000000" w:themeColor="text1"/>
          <w:kern w:val="0"/>
          <w:sz w:val="24"/>
          <w:szCs w:val="24"/>
        </w:rPr>
        <w:t>2022年3月16日下午</w:t>
      </w:r>
      <w:r>
        <w:rPr>
          <w:rFonts w:hint="eastAsia" w:ascii="楷体_GB2312" w:hAnsi="宋体" w:eastAsia="楷体_GB2312" w:cs="Times New Roman"/>
          <w:color w:val="000000" w:themeColor="text1"/>
          <w:kern w:val="0"/>
          <w:sz w:val="24"/>
          <w:szCs w:val="24"/>
        </w:rPr>
        <w:t>“高博特色”课程</w:t>
      </w:r>
      <w:r>
        <w:rPr>
          <w:rFonts w:ascii="楷体_GB2312" w:hAnsi="宋体" w:eastAsia="楷体_GB2312" w:cs="Times New Roman"/>
          <w:color w:val="000000" w:themeColor="text1"/>
          <w:kern w:val="0"/>
          <w:sz w:val="24"/>
          <w:szCs w:val="24"/>
        </w:rPr>
        <w:t>开启，全校大一学生参与了“家庭烹饪”课程在线学习，同学们课堂参与度很高，课堂互动良好，</w:t>
      </w:r>
      <w:r>
        <w:rPr>
          <w:rFonts w:hint="eastAsia" w:ascii="楷体_GB2312" w:hAnsi="宋体" w:eastAsia="楷体_GB2312" w:cs="Times New Roman"/>
          <w:color w:val="000000" w:themeColor="text1"/>
          <w:kern w:val="0"/>
          <w:sz w:val="24"/>
          <w:szCs w:val="24"/>
        </w:rPr>
        <w:t>多数</w:t>
      </w:r>
      <w:r>
        <w:rPr>
          <w:rFonts w:ascii="楷体_GB2312" w:hAnsi="宋体" w:eastAsia="楷体_GB2312" w:cs="Times New Roman"/>
          <w:color w:val="000000" w:themeColor="text1"/>
          <w:kern w:val="0"/>
          <w:sz w:val="24"/>
          <w:szCs w:val="24"/>
        </w:rPr>
        <w:t>同学分享了自己的“拿手菜”</w:t>
      </w:r>
      <w:r>
        <w:rPr>
          <w:rFonts w:hint="eastAsia" w:ascii="楷体_GB2312" w:hAnsi="宋体" w:eastAsia="楷体_GB2312" w:cs="Times New Roman"/>
          <w:color w:val="000000" w:themeColor="text1"/>
          <w:kern w:val="0"/>
          <w:sz w:val="24"/>
          <w:szCs w:val="24"/>
        </w:rPr>
        <w:t>。本课程由</w:t>
      </w:r>
      <w:r>
        <w:rPr>
          <w:rFonts w:ascii="楷体_GB2312" w:hAnsi="宋体" w:eastAsia="楷体_GB2312" w:cs="Times New Roman"/>
          <w:color w:val="000000" w:themeColor="text1"/>
          <w:kern w:val="0"/>
          <w:sz w:val="24"/>
          <w:szCs w:val="24"/>
        </w:rPr>
        <w:t>国际商学院社会服务系教学团队担纲，</w:t>
      </w:r>
      <w:r>
        <w:rPr>
          <w:rFonts w:hint="eastAsia" w:ascii="楷体_GB2312" w:hAnsi="宋体" w:eastAsia="楷体_GB2312" w:cs="Times New Roman"/>
          <w:color w:val="000000" w:themeColor="text1"/>
          <w:kern w:val="0"/>
          <w:sz w:val="24"/>
          <w:szCs w:val="24"/>
        </w:rPr>
        <w:t>紧接着，</w:t>
      </w:r>
      <w:r>
        <w:rPr>
          <w:rFonts w:ascii="楷体_GB2312" w:hAnsi="宋体" w:eastAsia="楷体_GB2312" w:cs="Times New Roman"/>
          <w:color w:val="000000" w:themeColor="text1"/>
          <w:kern w:val="0"/>
          <w:sz w:val="24"/>
          <w:szCs w:val="24"/>
        </w:rPr>
        <w:t>医学与公共服务学院承担的“家庭医护”</w:t>
      </w:r>
      <w:r>
        <w:rPr>
          <w:rFonts w:hint="eastAsia" w:ascii="楷体_GB2312" w:hAnsi="宋体" w:eastAsia="楷体_GB2312" w:cs="Times New Roman"/>
          <w:color w:val="000000" w:themeColor="text1"/>
          <w:kern w:val="0"/>
          <w:sz w:val="24"/>
          <w:szCs w:val="24"/>
        </w:rPr>
        <w:t>也已</w:t>
      </w:r>
      <w:r>
        <w:rPr>
          <w:rFonts w:ascii="楷体_GB2312" w:hAnsi="宋体" w:eastAsia="楷体_GB2312" w:cs="Times New Roman"/>
          <w:color w:val="000000" w:themeColor="text1"/>
          <w:kern w:val="0"/>
          <w:sz w:val="24"/>
          <w:szCs w:val="24"/>
        </w:rPr>
        <w:t>上线</w:t>
      </w:r>
      <w:r>
        <w:rPr>
          <w:rFonts w:hint="eastAsia" w:ascii="楷体_GB2312" w:hAnsi="宋体" w:eastAsia="楷体_GB2312" w:cs="Times New Roman"/>
          <w:color w:val="000000" w:themeColor="text1"/>
          <w:kern w:val="0"/>
          <w:sz w:val="24"/>
          <w:szCs w:val="24"/>
        </w:rPr>
        <w:t>。高博特色课程短小精悍，主题鲜明，参与学生在</w:t>
      </w:r>
      <w:r>
        <w:rPr>
          <w:rFonts w:ascii="楷体_GB2312" w:hAnsi="宋体" w:eastAsia="楷体_GB2312" w:cs="Times New Roman"/>
          <w:color w:val="000000" w:themeColor="text1"/>
          <w:kern w:val="0"/>
          <w:sz w:val="24"/>
          <w:szCs w:val="24"/>
        </w:rPr>
        <w:t>课上、线下都积极主动提出问题，同老师</w:t>
      </w:r>
      <w:r>
        <w:rPr>
          <w:rFonts w:hint="eastAsia" w:ascii="楷体_GB2312" w:hAnsi="宋体" w:eastAsia="楷体_GB2312" w:cs="Times New Roman"/>
          <w:color w:val="000000" w:themeColor="text1"/>
          <w:kern w:val="0"/>
          <w:sz w:val="24"/>
          <w:szCs w:val="24"/>
        </w:rPr>
        <w:t>开展</w:t>
      </w:r>
      <w:r>
        <w:rPr>
          <w:rFonts w:ascii="楷体_GB2312" w:hAnsi="宋体" w:eastAsia="楷体_GB2312" w:cs="Times New Roman"/>
          <w:color w:val="000000" w:themeColor="text1"/>
          <w:kern w:val="0"/>
          <w:sz w:val="24"/>
          <w:szCs w:val="24"/>
        </w:rPr>
        <w:t>思想交流和灵感碰撞，通过课后参与劳动实践并记录，提交到学习平台，开展学生之间及师生之间的互相评价和学习</w:t>
      </w:r>
      <w:r>
        <w:rPr>
          <w:rFonts w:hint="eastAsia" w:ascii="楷体_GB2312" w:hAnsi="宋体" w:eastAsia="楷体_GB2312" w:cs="Times New Roman"/>
          <w:color w:val="000000" w:themeColor="text1"/>
          <w:kern w:val="0"/>
          <w:sz w:val="24"/>
          <w:szCs w:val="24"/>
        </w:rPr>
        <w:t>，为该校人才培养和特色发展，特别是为更好服务于疫情防控需要的居家在线教学创造了一道美丽景观。</w:t>
      </w:r>
      <w:r>
        <w:rPr>
          <w:rFonts w:ascii="楷体_GB2312" w:hAnsi="宋体" w:eastAsia="楷体_GB2312" w:cs="Times New Roman"/>
          <w:color w:val="000000" w:themeColor="text1"/>
          <w:kern w:val="0"/>
          <w:sz w:val="24"/>
          <w:szCs w:val="24"/>
        </w:rPr>
        <w:t>“家庭理财”、 “安全用电”、“高效学习”和“女性生理卫生”等</w:t>
      </w:r>
      <w:r>
        <w:rPr>
          <w:rFonts w:hint="eastAsia" w:ascii="楷体_GB2312" w:hAnsi="宋体" w:eastAsia="楷体_GB2312" w:cs="Times New Roman"/>
          <w:color w:val="000000" w:themeColor="text1"/>
          <w:kern w:val="0"/>
          <w:sz w:val="24"/>
          <w:szCs w:val="24"/>
        </w:rPr>
        <w:t>课程也陆续开设，至今已达</w:t>
      </w:r>
      <w:r>
        <w:rPr>
          <w:rFonts w:ascii="楷体_GB2312" w:hAnsi="宋体" w:eastAsia="楷体_GB2312" w:cs="Times New Roman"/>
          <w:color w:val="000000" w:themeColor="text1"/>
          <w:kern w:val="0"/>
          <w:sz w:val="24"/>
          <w:szCs w:val="24"/>
        </w:rPr>
        <w:t>14门</w:t>
      </w:r>
      <w:r>
        <w:rPr>
          <w:rFonts w:hint="eastAsia" w:ascii="楷体_GB2312" w:hAnsi="宋体" w:eastAsia="楷体_GB2312" w:cs="Times New Roman"/>
          <w:color w:val="000000" w:themeColor="text1"/>
          <w:kern w:val="0"/>
          <w:sz w:val="24"/>
          <w:szCs w:val="24"/>
        </w:rPr>
        <w:t>。按照该校</w:t>
      </w:r>
      <w:r>
        <w:rPr>
          <w:rFonts w:ascii="楷体_GB2312" w:hAnsi="宋体" w:eastAsia="楷体_GB2312" w:cs="Times New Roman"/>
          <w:color w:val="000000" w:themeColor="text1"/>
          <w:kern w:val="0"/>
          <w:sz w:val="24"/>
          <w:szCs w:val="24"/>
        </w:rPr>
        <w:t>《高博特色课程建设指导意见》，</w:t>
      </w:r>
      <w:r>
        <w:rPr>
          <w:rFonts w:hint="eastAsia" w:ascii="楷体_GB2312" w:hAnsi="宋体" w:eastAsia="楷体_GB2312" w:cs="Times New Roman"/>
          <w:color w:val="000000" w:themeColor="text1"/>
          <w:kern w:val="0"/>
          <w:sz w:val="24"/>
          <w:szCs w:val="24"/>
        </w:rPr>
        <w:t>以模块化教学为主的</w:t>
      </w:r>
      <w:r>
        <w:rPr>
          <w:rFonts w:ascii="楷体_GB2312" w:hAnsi="宋体" w:eastAsia="楷体_GB2312" w:cs="Times New Roman"/>
          <w:color w:val="000000" w:themeColor="text1"/>
          <w:kern w:val="0"/>
          <w:sz w:val="24"/>
          <w:szCs w:val="24"/>
        </w:rPr>
        <w:t>高博特色公共基础必修课程</w:t>
      </w:r>
      <w:r>
        <w:rPr>
          <w:rFonts w:hint="eastAsia" w:ascii="楷体_GB2312" w:hAnsi="宋体" w:eastAsia="楷体_GB2312" w:cs="Times New Roman"/>
          <w:color w:val="000000" w:themeColor="text1"/>
          <w:kern w:val="0"/>
          <w:sz w:val="24"/>
          <w:szCs w:val="24"/>
        </w:rPr>
        <w:t>设劳动技能和文化素养两个系列，学生自主选课，累计</w:t>
      </w:r>
      <w:r>
        <w:rPr>
          <w:rFonts w:ascii="楷体_GB2312" w:hAnsi="宋体" w:eastAsia="楷体_GB2312" w:cs="Times New Roman"/>
          <w:color w:val="000000" w:themeColor="text1"/>
          <w:kern w:val="0"/>
          <w:sz w:val="24"/>
          <w:szCs w:val="24"/>
        </w:rPr>
        <w:t>24学时（1.5学分）</w:t>
      </w:r>
      <w:r>
        <w:rPr>
          <w:rFonts w:hint="eastAsia" w:ascii="楷体_GB2312" w:hAnsi="宋体" w:eastAsia="楷体_GB2312" w:cs="Times New Roman"/>
          <w:color w:val="000000" w:themeColor="text1"/>
          <w:kern w:val="0"/>
          <w:sz w:val="24"/>
          <w:szCs w:val="24"/>
        </w:rPr>
        <w:t>，其目的在于“把课堂学习与生活体验结合起来，以设计贴近高职学生生活的教学活动为载体，促进学生对人生、对生活产生新的认识，</w:t>
      </w:r>
      <w:bookmarkStart w:id="199" w:name="_Hlk121404467"/>
      <w:r>
        <w:rPr>
          <w:rFonts w:hint="eastAsia" w:ascii="楷体_GB2312" w:hAnsi="宋体" w:eastAsia="楷体_GB2312" w:cs="Times New Roman"/>
          <w:color w:val="000000" w:themeColor="text1"/>
          <w:kern w:val="0"/>
          <w:sz w:val="24"/>
          <w:szCs w:val="24"/>
        </w:rPr>
        <w:t>培养学生的生活生存能力</w:t>
      </w:r>
      <w:bookmarkEnd w:id="199"/>
      <w:r>
        <w:rPr>
          <w:rFonts w:hint="eastAsia" w:ascii="楷体_GB2312" w:hAnsi="宋体" w:eastAsia="楷体_GB2312" w:cs="Times New Roman"/>
          <w:color w:val="000000" w:themeColor="text1"/>
          <w:kern w:val="0"/>
          <w:sz w:val="24"/>
          <w:szCs w:val="24"/>
        </w:rPr>
        <w:t>、抗挫折能力和积极的生活态度”。</w:t>
      </w:r>
    </w:p>
    <w:p/>
    <w:p>
      <w:pPr>
        <w:pStyle w:val="2"/>
        <w:spacing w:before="0" w:after="0" w:line="360" w:lineRule="auto"/>
        <w:ind w:firstLine="643" w:firstLineChars="200"/>
        <w:rPr>
          <w:rFonts w:ascii="黑体" w:hAnsi="黑体" w:eastAsia="黑体"/>
          <w:sz w:val="32"/>
          <w:szCs w:val="32"/>
        </w:rPr>
      </w:pPr>
      <w:bookmarkStart w:id="200" w:name="_Toc533519415"/>
      <w:bookmarkStart w:id="201" w:name="_Toc532826566"/>
      <w:bookmarkStart w:id="202" w:name="_Toc124087897"/>
      <w:bookmarkStart w:id="203" w:name="_Toc500492312"/>
      <w:r>
        <w:rPr>
          <w:rFonts w:hint="eastAsia" w:ascii="黑体" w:hAnsi="黑体" w:eastAsia="黑体"/>
          <w:sz w:val="32"/>
          <w:szCs w:val="32"/>
        </w:rPr>
        <w:t>3.服务贡献与政策保障</w:t>
      </w:r>
      <w:bookmarkEnd w:id="200"/>
      <w:bookmarkEnd w:id="201"/>
      <w:bookmarkEnd w:id="202"/>
      <w:bookmarkEnd w:id="203"/>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在学生发展和教育教学进程中，该校重视服务贡献和政策保证。本学年虽然持续受到新冠疫情的影响，但该校</w:t>
      </w:r>
      <w:r>
        <w:rPr>
          <w:rFonts w:ascii="仿宋" w:hAnsi="仿宋" w:eastAsia="仿宋"/>
          <w:sz w:val="28"/>
          <w:szCs w:val="28"/>
        </w:rPr>
        <w:t>横向技术服务产生的经济效益</w:t>
      </w:r>
      <w:r>
        <w:rPr>
          <w:rFonts w:hint="eastAsia" w:ascii="仿宋" w:hAnsi="仿宋" w:eastAsia="仿宋"/>
          <w:sz w:val="28"/>
          <w:szCs w:val="28"/>
        </w:rPr>
        <w:t>、纵向科研经费到款额、知识产权获取数量</w:t>
      </w:r>
      <w:r>
        <w:rPr>
          <w:rFonts w:ascii="仿宋" w:hAnsi="仿宋" w:eastAsia="仿宋"/>
          <w:sz w:val="28"/>
          <w:szCs w:val="28"/>
        </w:rPr>
        <w:t>等</w:t>
      </w:r>
      <w:r>
        <w:rPr>
          <w:rFonts w:hint="eastAsia" w:ascii="仿宋" w:hAnsi="仿宋" w:eastAsia="仿宋"/>
          <w:sz w:val="28"/>
          <w:szCs w:val="28"/>
        </w:rPr>
        <w:t>继续</w:t>
      </w:r>
      <w:r>
        <w:rPr>
          <w:rFonts w:ascii="仿宋" w:hAnsi="仿宋" w:eastAsia="仿宋"/>
          <w:sz w:val="28"/>
          <w:szCs w:val="28"/>
        </w:rPr>
        <w:t>增长</w:t>
      </w:r>
      <w:r>
        <w:rPr>
          <w:rFonts w:hint="eastAsia" w:ascii="仿宋" w:hAnsi="仿宋" w:eastAsia="仿宋"/>
          <w:sz w:val="28"/>
          <w:szCs w:val="28"/>
        </w:rPr>
        <w:t>。特别是知识产权项目数从4</w:t>
      </w:r>
      <w:r>
        <w:rPr>
          <w:rFonts w:ascii="仿宋" w:hAnsi="仿宋" w:eastAsia="仿宋"/>
          <w:sz w:val="28"/>
          <w:szCs w:val="28"/>
        </w:rPr>
        <w:t>9</w:t>
      </w:r>
      <w:r>
        <w:rPr>
          <w:rFonts w:hint="eastAsia" w:ascii="仿宋" w:hAnsi="仿宋" w:eastAsia="仿宋"/>
          <w:sz w:val="28"/>
          <w:szCs w:val="28"/>
        </w:rPr>
        <w:t>项增加到1</w:t>
      </w:r>
      <w:r>
        <w:rPr>
          <w:rFonts w:ascii="仿宋" w:hAnsi="仿宋" w:eastAsia="仿宋"/>
          <w:sz w:val="28"/>
          <w:szCs w:val="28"/>
        </w:rPr>
        <w:t>11</w:t>
      </w:r>
      <w:r>
        <w:rPr>
          <w:rFonts w:hint="eastAsia" w:ascii="仿宋" w:hAnsi="仿宋" w:eastAsia="仿宋"/>
          <w:sz w:val="28"/>
          <w:szCs w:val="28"/>
        </w:rPr>
        <w:t>项。社会培训总量1</w:t>
      </w:r>
      <w:r>
        <w:rPr>
          <w:rFonts w:ascii="仿宋" w:hAnsi="仿宋" w:eastAsia="仿宋"/>
          <w:sz w:val="28"/>
          <w:szCs w:val="28"/>
        </w:rPr>
        <w:t>29</w:t>
      </w:r>
      <w:r>
        <w:rPr>
          <w:rFonts w:hint="eastAsia" w:ascii="仿宋" w:hAnsi="仿宋" w:eastAsia="仿宋"/>
          <w:sz w:val="28"/>
          <w:szCs w:val="28"/>
        </w:rPr>
        <w:t>人次，总收入2</w:t>
      </w:r>
      <w:r>
        <w:rPr>
          <w:rFonts w:ascii="仿宋" w:hAnsi="仿宋" w:eastAsia="仿宋"/>
          <w:sz w:val="28"/>
          <w:szCs w:val="28"/>
        </w:rPr>
        <w:t>6.40</w:t>
      </w:r>
      <w:r>
        <w:rPr>
          <w:rFonts w:hint="eastAsia" w:ascii="仿宋" w:hAnsi="仿宋" w:eastAsia="仿宋"/>
          <w:sz w:val="28"/>
          <w:szCs w:val="28"/>
        </w:rPr>
        <w:t>万元（见表3.1）。本学年该校的质量管理、校企合作和院校治理等保障项目均有新的拓展。企业提供的校内实践教学设备值3</w:t>
      </w:r>
      <w:r>
        <w:rPr>
          <w:rFonts w:ascii="仿宋" w:hAnsi="仿宋" w:eastAsia="仿宋"/>
          <w:sz w:val="28"/>
          <w:szCs w:val="28"/>
        </w:rPr>
        <w:t>80</w:t>
      </w:r>
      <w:r>
        <w:rPr>
          <w:rFonts w:hint="eastAsia" w:ascii="仿宋" w:hAnsi="仿宋" w:eastAsia="仿宋"/>
          <w:sz w:val="28"/>
          <w:szCs w:val="28"/>
        </w:rPr>
        <w:t>万元；企业兼职教师年课时总量</w:t>
      </w:r>
      <w:r>
        <w:rPr>
          <w:rFonts w:ascii="仿宋" w:hAnsi="仿宋" w:eastAsia="仿宋"/>
          <w:sz w:val="28"/>
          <w:szCs w:val="28"/>
        </w:rPr>
        <w:t>7247</w:t>
      </w:r>
      <w:r>
        <w:rPr>
          <w:rFonts w:hint="eastAsia" w:ascii="仿宋" w:hAnsi="仿宋" w:eastAsia="仿宋"/>
          <w:sz w:val="28"/>
          <w:szCs w:val="28"/>
        </w:rPr>
        <w:t>课时；年支付企业兼职教师课酬</w:t>
      </w:r>
      <w:r>
        <w:rPr>
          <w:rFonts w:ascii="仿宋" w:hAnsi="仿宋" w:eastAsia="仿宋"/>
          <w:sz w:val="28"/>
          <w:szCs w:val="28"/>
        </w:rPr>
        <w:t>61.60</w:t>
      </w:r>
      <w:r>
        <w:rPr>
          <w:rFonts w:hint="eastAsia" w:ascii="仿宋" w:hAnsi="仿宋" w:eastAsia="仿宋"/>
          <w:sz w:val="28"/>
          <w:szCs w:val="28"/>
        </w:rPr>
        <w:t>万元；年实习专项经费1</w:t>
      </w:r>
      <w:r>
        <w:rPr>
          <w:rFonts w:ascii="仿宋" w:hAnsi="仿宋" w:eastAsia="仿宋"/>
          <w:sz w:val="28"/>
          <w:szCs w:val="28"/>
        </w:rPr>
        <w:t>6.08</w:t>
      </w:r>
      <w:r>
        <w:rPr>
          <w:rFonts w:hint="eastAsia" w:ascii="仿宋" w:hAnsi="仿宋" w:eastAsia="仿宋"/>
          <w:sz w:val="28"/>
          <w:szCs w:val="28"/>
        </w:rPr>
        <w:t>万元（见表3 2）。通过办学的良好产出和政策的多重保障，该校的人才培养、社会影响等方面均获得长足进步。</w:t>
      </w:r>
    </w:p>
    <w:p>
      <w:pPr>
        <w:adjustRightInd w:val="0"/>
        <w:snapToGrid w:val="0"/>
        <w:spacing w:line="360" w:lineRule="auto"/>
        <w:jc w:val="center"/>
        <w:rPr>
          <w:rFonts w:ascii="仿宋_GB2312" w:eastAsia="仿宋_GB2312" w:hAnsiTheme="minorEastAsia"/>
          <w:b/>
          <w:sz w:val="24"/>
          <w:szCs w:val="24"/>
        </w:rPr>
      </w:pPr>
      <w:bookmarkStart w:id="204" w:name="_Hlk124256681"/>
      <w:bookmarkStart w:id="205" w:name="_Toc124170650"/>
      <w:bookmarkStart w:id="206" w:name="_Hlk121993019"/>
      <w:r>
        <w:rPr>
          <w:rFonts w:hint="eastAsia" w:ascii="仿宋_GB2312" w:eastAsia="仿宋_GB2312" w:hAnsiTheme="minorEastAsia"/>
          <w:b/>
          <w:sz w:val="24"/>
          <w:szCs w:val="24"/>
        </w:rPr>
        <w:t xml:space="preserve">表3. </w:t>
      </w:r>
      <w:r>
        <w:rPr>
          <w:rFonts w:ascii="仿宋_GB2312" w:eastAsia="仿宋_GB2312" w:hAnsiTheme="minorEastAsia"/>
          <w:b/>
          <w:sz w:val="24"/>
          <w:szCs w:val="24"/>
        </w:rPr>
        <w:fldChar w:fldCharType="begin"/>
      </w:r>
      <w:r>
        <w:rPr>
          <w:rFonts w:ascii="仿宋_GB2312" w:eastAsia="仿宋_GB2312" w:hAnsiTheme="minorEastAsia"/>
          <w:b/>
          <w:sz w:val="24"/>
          <w:szCs w:val="24"/>
        </w:rPr>
        <w:instrText xml:space="preserve"> </w:instrText>
      </w:r>
      <w:r>
        <w:rPr>
          <w:rFonts w:hint="eastAsia" w:ascii="仿宋_GB2312" w:eastAsia="仿宋_GB2312" w:hAnsiTheme="minorEastAsia"/>
          <w:b/>
          <w:sz w:val="24"/>
          <w:szCs w:val="24"/>
        </w:rPr>
        <w:instrText xml:space="preserve">SEQ 表3. \* ARABIC</w:instrText>
      </w:r>
      <w:r>
        <w:rPr>
          <w:rFonts w:ascii="仿宋_GB2312" w:eastAsia="仿宋_GB2312" w:hAnsiTheme="minorEastAsia"/>
          <w:b/>
          <w:sz w:val="24"/>
          <w:szCs w:val="24"/>
        </w:rPr>
        <w:instrText xml:space="preserve"> </w:instrText>
      </w:r>
      <w:r>
        <w:rPr>
          <w:rFonts w:ascii="仿宋_GB2312" w:eastAsia="仿宋_GB2312" w:hAnsiTheme="minorEastAsia"/>
          <w:b/>
          <w:sz w:val="24"/>
          <w:szCs w:val="24"/>
        </w:rPr>
        <w:fldChar w:fldCharType="separate"/>
      </w:r>
      <w:r>
        <w:rPr>
          <w:rFonts w:ascii="仿宋_GB2312" w:eastAsia="仿宋_GB2312" w:hAnsiTheme="minorEastAsia"/>
          <w:b/>
          <w:sz w:val="24"/>
          <w:szCs w:val="24"/>
        </w:rPr>
        <w:t>1</w:t>
      </w:r>
      <w:r>
        <w:rPr>
          <w:rFonts w:ascii="仿宋_GB2312" w:eastAsia="仿宋_GB2312" w:hAnsiTheme="minorEastAsia"/>
          <w:b/>
          <w:sz w:val="24"/>
          <w:szCs w:val="24"/>
        </w:rPr>
        <w:fldChar w:fldCharType="end"/>
      </w:r>
      <w:bookmarkEnd w:id="204"/>
      <w:r>
        <w:rPr>
          <w:rFonts w:ascii="仿宋_GB2312" w:eastAsia="仿宋_GB2312" w:hAnsiTheme="minorEastAsia"/>
          <w:b/>
          <w:sz w:val="24"/>
          <w:szCs w:val="24"/>
        </w:rPr>
        <w:t xml:space="preserve"> </w:t>
      </w:r>
      <w:r>
        <w:rPr>
          <w:rFonts w:hint="eastAsia" w:ascii="仿宋_GB2312" w:eastAsia="仿宋_GB2312" w:hAnsiTheme="minorEastAsia"/>
          <w:b/>
          <w:sz w:val="24"/>
          <w:szCs w:val="24"/>
        </w:rPr>
        <w:t>服务贡献表</w:t>
      </w:r>
      <w:bookmarkEnd w:id="205"/>
    </w:p>
    <w:bookmarkEnd w:id="206"/>
    <w:tbl>
      <w:tblPr>
        <w:tblStyle w:val="62"/>
        <w:tblW w:w="0" w:type="auto"/>
        <w:jc w:val="center"/>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Layout w:type="autofit"/>
        <w:tblCellMar>
          <w:top w:w="0" w:type="dxa"/>
          <w:left w:w="108" w:type="dxa"/>
          <w:bottom w:w="0" w:type="dxa"/>
          <w:right w:w="108" w:type="dxa"/>
        </w:tblCellMar>
      </w:tblPr>
      <w:tblGrid>
        <w:gridCol w:w="698"/>
        <w:gridCol w:w="4205"/>
        <w:gridCol w:w="698"/>
        <w:gridCol w:w="1001"/>
        <w:gridCol w:w="1001"/>
      </w:tblGrid>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7" w:hRule="atLeast"/>
          <w:tblHeader/>
          <w:jc w:val="center"/>
        </w:trPr>
        <w:tc>
          <w:tcPr>
            <w:tcW w:w="0" w:type="auto"/>
            <w:tcBorders>
              <w:top w:val="single" w:color="CCE8CF" w:themeColor="background1" w:sz="4" w:space="0"/>
              <w:left w:val="single" w:color="CCE8CF" w:themeColor="background1" w:sz="4" w:space="0"/>
              <w:right w:val="nil"/>
              <w:insideV w:val="nil"/>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序号</w:t>
            </w:r>
          </w:p>
        </w:tc>
        <w:tc>
          <w:tcPr>
            <w:tcW w:w="0" w:type="auto"/>
            <w:tcBorders>
              <w:top w:val="single" w:color="CCE8CF" w:themeColor="background1" w:sz="4" w:space="0"/>
              <w:right w:val="nil"/>
              <w:insideV w:val="nil"/>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指标</w:t>
            </w:r>
          </w:p>
        </w:tc>
        <w:tc>
          <w:tcPr>
            <w:tcW w:w="0" w:type="auto"/>
            <w:tcBorders>
              <w:top w:val="single" w:color="CCE8CF" w:themeColor="background1" w:sz="4" w:space="0"/>
              <w:right w:val="nil"/>
              <w:insideV w:val="nil"/>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单位</w:t>
            </w:r>
          </w:p>
        </w:tc>
        <w:tc>
          <w:tcPr>
            <w:tcW w:w="0" w:type="auto"/>
            <w:tcBorders>
              <w:top w:val="single" w:color="CCE8CF" w:themeColor="background1" w:sz="4" w:space="0"/>
              <w:right w:val="nil"/>
              <w:insideV w:val="nil"/>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2021年</w:t>
            </w:r>
          </w:p>
        </w:tc>
        <w:tc>
          <w:tcPr>
            <w:tcW w:w="0" w:type="auto"/>
            <w:tcBorders>
              <w:top w:val="single" w:color="CCE8CF" w:themeColor="background1" w:sz="4" w:space="0"/>
              <w:right w:val="single" w:color="CCE8CF" w:themeColor="background1" w:sz="4" w:space="0"/>
              <w:insideV w:val="nil"/>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ascii="仿宋" w:hAnsi="仿宋" w:eastAsia="仿宋"/>
                <w:b/>
                <w:bCs/>
                <w:color w:val="CCE8CF" w:themeColor="background1"/>
                <w:kern w:val="0"/>
                <w:sz w:val="24"/>
                <w:szCs w:val="24"/>
              </w:rPr>
              <w:t>2022</w:t>
            </w:r>
            <w:r>
              <w:rPr>
                <w:rFonts w:hint="eastAsia" w:ascii="仿宋" w:hAnsi="仿宋" w:eastAsia="仿宋"/>
                <w:b/>
                <w:bCs/>
                <w:color w:val="CCE8CF" w:themeColor="background1"/>
                <w:kern w:val="0"/>
                <w:sz w:val="24"/>
                <w:szCs w:val="24"/>
              </w:rPr>
              <w:t>年</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1</w:t>
            </w:r>
          </w:p>
        </w:tc>
        <w:tc>
          <w:tcPr>
            <w:tcW w:w="0" w:type="auto"/>
            <w:shd w:val="clear" w:color="auto" w:fill="BDD6EE" w:themeFill="accent5" w:themeFillTint="66"/>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全日制在校生人数</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人</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5860</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7084</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restart"/>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2</w:t>
            </w:r>
          </w:p>
        </w:tc>
        <w:tc>
          <w:tcPr>
            <w:tcW w:w="0" w:type="auto"/>
            <w:shd w:val="clear" w:color="auto" w:fill="DEEAF6" w:themeFill="accent5" w:themeFillTint="33"/>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毕业生就业人数</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人</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13</w:t>
            </w:r>
            <w:r>
              <w:rPr>
                <w:rFonts w:ascii="仿宋_GB2312" w:hAnsi="等线" w:eastAsia="仿宋_GB2312" w:cs="宋体"/>
                <w:color w:val="000000"/>
                <w:kern w:val="0"/>
                <w:sz w:val="24"/>
                <w:szCs w:val="24"/>
              </w:rPr>
              <w:t>39</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1213</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continue"/>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p>
        </w:tc>
        <w:tc>
          <w:tcPr>
            <w:tcW w:w="0" w:type="auto"/>
            <w:shd w:val="clear" w:color="auto" w:fill="BDD6EE" w:themeFill="accent5" w:themeFillTint="66"/>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其中：</w:t>
            </w:r>
            <w:r>
              <w:rPr>
                <w:rFonts w:ascii="Times New Roman" w:hAnsi="Times New Roman" w:eastAsia="仿宋_GB2312" w:cs="Times New Roman"/>
                <w:color w:val="000000"/>
                <w:kern w:val="0"/>
                <w:sz w:val="24"/>
                <w:szCs w:val="24"/>
              </w:rPr>
              <w:t>A</w:t>
            </w:r>
            <w:r>
              <w:rPr>
                <w:rFonts w:hint="eastAsia" w:ascii="仿宋_GB2312" w:hAnsi="等线" w:eastAsia="仿宋_GB2312" w:cs="宋体"/>
                <w:color w:val="000000"/>
                <w:kern w:val="0"/>
                <w:sz w:val="24"/>
                <w:szCs w:val="24"/>
              </w:rPr>
              <w:t>类：留在当地就业</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人</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831</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7</w:t>
            </w:r>
            <w:r>
              <w:rPr>
                <w:rFonts w:ascii="仿宋_GB2312" w:hAnsi="等线" w:eastAsia="仿宋_GB2312" w:cs="宋体"/>
                <w:color w:val="000000"/>
                <w:kern w:val="0"/>
                <w:sz w:val="24"/>
                <w:szCs w:val="24"/>
              </w:rPr>
              <w:t>14</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continue"/>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p>
        </w:tc>
        <w:tc>
          <w:tcPr>
            <w:tcW w:w="0" w:type="auto"/>
            <w:shd w:val="clear" w:color="auto" w:fill="DEEAF6" w:themeFill="accent5" w:themeFillTint="33"/>
          </w:tcPr>
          <w:p>
            <w:pPr>
              <w:widowControl/>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 xml:space="preserve">           B</w:t>
            </w:r>
            <w:r>
              <w:rPr>
                <w:rFonts w:hint="eastAsia" w:ascii="宋体" w:hAnsi="宋体" w:eastAsia="宋体" w:cs="Times New Roman"/>
                <w:color w:val="000000"/>
                <w:kern w:val="0"/>
                <w:sz w:val="24"/>
                <w:szCs w:val="24"/>
              </w:rPr>
              <w:t>类</w:t>
            </w:r>
            <w:r>
              <w:rPr>
                <w:rFonts w:hint="eastAsia" w:ascii="仿宋_GB2312" w:hAnsi="Times New Roman" w:eastAsia="仿宋_GB2312" w:cs="Times New Roman"/>
                <w:color w:val="000000"/>
                <w:kern w:val="0"/>
                <w:sz w:val="24"/>
                <w:szCs w:val="24"/>
              </w:rPr>
              <w:t>：到西部和</w:t>
            </w:r>
            <w:r>
              <w:rPr>
                <w:rFonts w:hint="eastAsia" w:ascii="宋体" w:hAnsi="宋体" w:eastAsia="宋体" w:cs="Times New Roman"/>
                <w:color w:val="000000"/>
                <w:kern w:val="0"/>
                <w:sz w:val="24"/>
                <w:szCs w:val="24"/>
              </w:rPr>
              <w:t>东</w:t>
            </w:r>
            <w:r>
              <w:rPr>
                <w:rFonts w:hint="eastAsia" w:ascii="仿宋_GB2312" w:hAnsi="Times New Roman" w:eastAsia="仿宋_GB2312" w:cs="Times New Roman"/>
                <w:color w:val="000000"/>
                <w:kern w:val="0"/>
                <w:sz w:val="24"/>
                <w:szCs w:val="24"/>
              </w:rPr>
              <w:t>北地</w:t>
            </w:r>
            <w:r>
              <w:rPr>
                <w:rFonts w:hint="eastAsia" w:ascii="宋体" w:hAnsi="宋体" w:eastAsia="宋体" w:cs="Times New Roman"/>
                <w:color w:val="000000"/>
                <w:kern w:val="0"/>
                <w:sz w:val="24"/>
                <w:szCs w:val="24"/>
              </w:rPr>
              <w:t>区</w:t>
            </w:r>
            <w:r>
              <w:rPr>
                <w:rFonts w:hint="eastAsia" w:ascii="仿宋_GB2312" w:hAnsi="Times New Roman" w:eastAsia="仿宋_GB2312" w:cs="Times New Roman"/>
                <w:color w:val="000000"/>
                <w:kern w:val="0"/>
                <w:sz w:val="24"/>
                <w:szCs w:val="24"/>
              </w:rPr>
              <w:t>就</w:t>
            </w:r>
            <w:r>
              <w:rPr>
                <w:rFonts w:hint="eastAsia" w:ascii="宋体" w:hAnsi="宋体" w:eastAsia="宋体" w:cs="Times New Roman"/>
                <w:color w:val="000000"/>
                <w:kern w:val="0"/>
                <w:sz w:val="24"/>
                <w:szCs w:val="24"/>
              </w:rPr>
              <w:t>业</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人</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57</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4</w:t>
            </w:r>
            <w:r>
              <w:rPr>
                <w:rFonts w:ascii="仿宋_GB2312" w:hAnsi="等线" w:eastAsia="仿宋_GB2312" w:cs="宋体"/>
                <w:color w:val="000000"/>
                <w:kern w:val="0"/>
                <w:sz w:val="24"/>
                <w:szCs w:val="24"/>
              </w:rPr>
              <w:t>8</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continue"/>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p>
        </w:tc>
        <w:tc>
          <w:tcPr>
            <w:tcW w:w="0" w:type="auto"/>
            <w:shd w:val="clear" w:color="auto" w:fill="BDD6EE" w:themeFill="accent5" w:themeFillTint="66"/>
          </w:tcPr>
          <w:p>
            <w:pPr>
              <w:widowControl/>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 xml:space="preserve">           C</w:t>
            </w:r>
            <w:r>
              <w:rPr>
                <w:rFonts w:hint="eastAsia" w:ascii="宋体" w:hAnsi="宋体" w:eastAsia="宋体" w:cs="Times New Roman"/>
                <w:color w:val="000000"/>
                <w:kern w:val="0"/>
                <w:sz w:val="24"/>
                <w:szCs w:val="24"/>
              </w:rPr>
              <w:t>类</w:t>
            </w:r>
            <w:r>
              <w:rPr>
                <w:rFonts w:hint="eastAsia" w:ascii="仿宋_GB2312" w:hAnsi="Times New Roman" w:eastAsia="仿宋_GB2312" w:cs="Times New Roman"/>
                <w:color w:val="000000"/>
                <w:kern w:val="0"/>
                <w:sz w:val="24"/>
                <w:szCs w:val="24"/>
              </w:rPr>
              <w:t>：到中小微企</w:t>
            </w:r>
            <w:r>
              <w:rPr>
                <w:rFonts w:hint="eastAsia" w:ascii="宋体" w:hAnsi="宋体" w:eastAsia="宋体" w:cs="Times New Roman"/>
                <w:color w:val="000000"/>
                <w:kern w:val="0"/>
                <w:sz w:val="24"/>
                <w:szCs w:val="24"/>
              </w:rPr>
              <w:t>业</w:t>
            </w:r>
            <w:r>
              <w:rPr>
                <w:rFonts w:hint="eastAsia" w:ascii="仿宋_GB2312" w:hAnsi="Times New Roman" w:eastAsia="仿宋_GB2312" w:cs="Times New Roman"/>
                <w:color w:val="000000"/>
                <w:kern w:val="0"/>
                <w:sz w:val="24"/>
                <w:szCs w:val="24"/>
              </w:rPr>
              <w:t>等基</w:t>
            </w:r>
            <w:r>
              <w:rPr>
                <w:rFonts w:hint="eastAsia" w:ascii="宋体" w:hAnsi="宋体" w:eastAsia="宋体" w:cs="Times New Roman"/>
                <w:color w:val="000000"/>
                <w:kern w:val="0"/>
                <w:sz w:val="24"/>
                <w:szCs w:val="24"/>
              </w:rPr>
              <w:t>层</w:t>
            </w:r>
            <w:r>
              <w:rPr>
                <w:rFonts w:hint="eastAsia" w:ascii="仿宋_GB2312" w:hAnsi="Times New Roman" w:eastAsia="仿宋_GB2312" w:cs="Times New Roman"/>
                <w:color w:val="000000"/>
                <w:kern w:val="0"/>
                <w:sz w:val="24"/>
                <w:szCs w:val="24"/>
              </w:rPr>
              <w:t>就</w:t>
            </w:r>
            <w:r>
              <w:rPr>
                <w:rFonts w:hint="eastAsia" w:ascii="宋体" w:hAnsi="宋体" w:eastAsia="宋体" w:cs="Times New Roman"/>
                <w:color w:val="000000"/>
                <w:kern w:val="0"/>
                <w:sz w:val="24"/>
                <w:szCs w:val="24"/>
              </w:rPr>
              <w:t>业</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人</w:t>
            </w:r>
            <w:r>
              <w:rPr>
                <w:rFonts w:ascii="Times New Roman" w:hAnsi="Times New Roman" w:eastAsia="仿宋_GB2312" w:cs="Times New Roman"/>
                <w:color w:val="000000"/>
                <w:kern w:val="0"/>
                <w:sz w:val="24"/>
                <w:szCs w:val="24"/>
              </w:rPr>
              <w:t xml:space="preserve"> </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1</w:t>
            </w:r>
            <w:r>
              <w:rPr>
                <w:rFonts w:ascii="仿宋_GB2312" w:hAnsi="等线" w:eastAsia="仿宋_GB2312" w:cs="宋体"/>
                <w:color w:val="000000"/>
                <w:kern w:val="0"/>
                <w:sz w:val="24"/>
                <w:szCs w:val="24"/>
              </w:rPr>
              <w:t>304</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1</w:t>
            </w:r>
            <w:r>
              <w:rPr>
                <w:rFonts w:ascii="仿宋_GB2312" w:hAnsi="等线" w:eastAsia="仿宋_GB2312" w:cs="宋体"/>
                <w:color w:val="000000"/>
                <w:kern w:val="0"/>
                <w:sz w:val="24"/>
                <w:szCs w:val="24"/>
              </w:rPr>
              <w:t>153</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continue"/>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p>
        </w:tc>
        <w:tc>
          <w:tcPr>
            <w:tcW w:w="0" w:type="auto"/>
            <w:shd w:val="clear" w:color="auto" w:fill="DEEAF6" w:themeFill="accent5" w:themeFillTint="33"/>
          </w:tcPr>
          <w:p>
            <w:pPr>
              <w:widowControl/>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 xml:space="preserve">           D</w:t>
            </w:r>
            <w:r>
              <w:rPr>
                <w:rFonts w:hint="eastAsia" w:ascii="宋体" w:hAnsi="宋体" w:eastAsia="宋体" w:cs="Times New Roman"/>
                <w:color w:val="000000"/>
                <w:kern w:val="0"/>
                <w:sz w:val="24"/>
                <w:szCs w:val="24"/>
              </w:rPr>
              <w:t>类</w:t>
            </w:r>
            <w:r>
              <w:rPr>
                <w:rFonts w:hint="eastAsia" w:ascii="仿宋_GB2312" w:hAnsi="Times New Roman" w:eastAsia="仿宋_GB2312" w:cs="Times New Roman"/>
                <w:color w:val="000000"/>
                <w:kern w:val="0"/>
                <w:sz w:val="24"/>
                <w:szCs w:val="24"/>
              </w:rPr>
              <w:t>：到大型企</w:t>
            </w:r>
            <w:r>
              <w:rPr>
                <w:rFonts w:hint="eastAsia" w:ascii="宋体" w:hAnsi="宋体" w:eastAsia="宋体" w:cs="Times New Roman"/>
                <w:color w:val="000000"/>
                <w:kern w:val="0"/>
                <w:sz w:val="24"/>
                <w:szCs w:val="24"/>
              </w:rPr>
              <w:t>业</w:t>
            </w:r>
            <w:r>
              <w:rPr>
                <w:rFonts w:hint="eastAsia" w:ascii="仿宋_GB2312" w:hAnsi="Times New Roman" w:eastAsia="仿宋_GB2312" w:cs="Times New Roman"/>
                <w:color w:val="000000"/>
                <w:kern w:val="0"/>
                <w:sz w:val="24"/>
                <w:szCs w:val="24"/>
              </w:rPr>
              <w:t>就</w:t>
            </w:r>
            <w:r>
              <w:rPr>
                <w:rFonts w:hint="eastAsia" w:ascii="宋体" w:hAnsi="宋体" w:eastAsia="宋体" w:cs="Times New Roman"/>
                <w:color w:val="000000"/>
                <w:kern w:val="0"/>
                <w:sz w:val="24"/>
                <w:szCs w:val="24"/>
              </w:rPr>
              <w:t>业</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人</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21</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4</w:t>
            </w:r>
            <w:r>
              <w:rPr>
                <w:rFonts w:ascii="仿宋_GB2312" w:hAnsi="等线" w:eastAsia="仿宋_GB2312" w:cs="宋体"/>
                <w:color w:val="000000"/>
                <w:kern w:val="0"/>
                <w:sz w:val="24"/>
                <w:szCs w:val="24"/>
              </w:rPr>
              <w:t>6</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restart"/>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3</w:t>
            </w:r>
          </w:p>
        </w:tc>
        <w:tc>
          <w:tcPr>
            <w:tcW w:w="0" w:type="auto"/>
            <w:shd w:val="clear" w:color="auto" w:fill="BDD6EE" w:themeFill="accent5" w:themeFillTint="66"/>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横向技术服务到款额</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万元</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18.38</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1</w:t>
            </w:r>
            <w:r>
              <w:rPr>
                <w:rFonts w:ascii="仿宋_GB2312" w:hAnsi="等线" w:eastAsia="仿宋_GB2312" w:cs="宋体"/>
                <w:color w:val="000000"/>
                <w:kern w:val="0"/>
                <w:sz w:val="24"/>
                <w:szCs w:val="24"/>
              </w:rPr>
              <w:t>8</w:t>
            </w:r>
            <w:r>
              <w:rPr>
                <w:rFonts w:hint="eastAsia" w:ascii="仿宋_GB2312" w:hAnsi="等线" w:eastAsia="仿宋_GB2312" w:cs="宋体"/>
                <w:color w:val="000000"/>
                <w:kern w:val="0"/>
                <w:sz w:val="24"/>
                <w:szCs w:val="24"/>
              </w:rPr>
              <w:t>.</w:t>
            </w:r>
            <w:r>
              <w:rPr>
                <w:rFonts w:ascii="仿宋_GB2312" w:hAnsi="等线" w:eastAsia="仿宋_GB2312" w:cs="宋体"/>
                <w:color w:val="000000"/>
                <w:kern w:val="0"/>
                <w:sz w:val="24"/>
                <w:szCs w:val="24"/>
              </w:rPr>
              <w:t>0</w:t>
            </w:r>
            <w:r>
              <w:rPr>
                <w:rFonts w:hint="eastAsia" w:ascii="仿宋_GB2312" w:hAnsi="等线" w:eastAsia="仿宋_GB2312" w:cs="宋体"/>
                <w:color w:val="000000"/>
                <w:kern w:val="0"/>
                <w:sz w:val="24"/>
                <w:szCs w:val="24"/>
              </w:rPr>
              <w:t>9</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continue"/>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p>
        </w:tc>
        <w:tc>
          <w:tcPr>
            <w:tcW w:w="0" w:type="auto"/>
            <w:shd w:val="clear" w:color="auto" w:fill="DEEAF6" w:themeFill="accent5" w:themeFillTint="33"/>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横向技术服务产生的经济效益</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万元</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65.</w:t>
            </w:r>
            <w:r>
              <w:rPr>
                <w:rFonts w:ascii="仿宋_GB2312" w:hAnsi="等线" w:eastAsia="仿宋_GB2312" w:cs="宋体"/>
                <w:color w:val="000000"/>
                <w:kern w:val="0"/>
                <w:sz w:val="24"/>
                <w:szCs w:val="24"/>
              </w:rPr>
              <w:t>00</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1</w:t>
            </w:r>
            <w:r>
              <w:rPr>
                <w:rFonts w:ascii="仿宋_GB2312" w:hAnsi="等线" w:eastAsia="仿宋_GB2312" w:cs="宋体"/>
                <w:color w:val="000000"/>
                <w:kern w:val="0"/>
                <w:sz w:val="24"/>
                <w:szCs w:val="24"/>
              </w:rPr>
              <w:t>07.00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4</w:t>
            </w:r>
          </w:p>
        </w:tc>
        <w:tc>
          <w:tcPr>
            <w:tcW w:w="0" w:type="auto"/>
            <w:shd w:val="clear" w:color="auto" w:fill="BDD6EE" w:themeFill="accent5" w:themeFillTint="66"/>
          </w:tcPr>
          <w:p>
            <w:pPr>
              <w:widowControl/>
              <w:rPr>
                <w:rFonts w:ascii="仿宋_GB2312" w:hAnsi="等线" w:eastAsia="仿宋_GB2312" w:cs="宋体"/>
                <w:color w:val="000000"/>
                <w:kern w:val="0"/>
                <w:sz w:val="24"/>
                <w:szCs w:val="24"/>
              </w:rPr>
            </w:pPr>
            <w:bookmarkStart w:id="207" w:name="_Hlk122423384"/>
            <w:r>
              <w:rPr>
                <w:rFonts w:hint="eastAsia" w:ascii="仿宋_GB2312" w:hAnsi="等线" w:eastAsia="仿宋_GB2312" w:cs="宋体"/>
                <w:color w:val="000000"/>
                <w:kern w:val="0"/>
                <w:sz w:val="24"/>
                <w:szCs w:val="24"/>
              </w:rPr>
              <w:t>纵向科研经费到款额</w:t>
            </w:r>
            <w:bookmarkEnd w:id="207"/>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万元</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6.46</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14.46</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5</w:t>
            </w:r>
          </w:p>
        </w:tc>
        <w:tc>
          <w:tcPr>
            <w:tcW w:w="0" w:type="auto"/>
            <w:shd w:val="clear" w:color="auto" w:fill="DEEAF6" w:themeFill="accent5" w:themeFillTint="33"/>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技术产权交易收入</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万元</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0</w:t>
            </w:r>
            <w:r>
              <w:rPr>
                <w:rFonts w:ascii="仿宋_GB2312" w:hAnsi="等线" w:eastAsia="仿宋_GB2312" w:cs="宋体"/>
                <w:color w:val="000000"/>
                <w:kern w:val="0"/>
                <w:sz w:val="24"/>
                <w:szCs w:val="24"/>
              </w:rPr>
              <w:t>.00</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0.00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6</w:t>
            </w:r>
          </w:p>
        </w:tc>
        <w:tc>
          <w:tcPr>
            <w:tcW w:w="0" w:type="auto"/>
            <w:shd w:val="clear" w:color="auto" w:fill="BDD6EE" w:themeFill="accent5" w:themeFillTint="66"/>
          </w:tcPr>
          <w:p>
            <w:pPr>
              <w:widowControl/>
              <w:rPr>
                <w:rFonts w:ascii="仿宋_GB2312" w:hAnsi="等线" w:eastAsia="仿宋_GB2312" w:cs="宋体"/>
                <w:color w:val="000000"/>
                <w:kern w:val="0"/>
                <w:sz w:val="24"/>
                <w:szCs w:val="24"/>
              </w:rPr>
            </w:pPr>
            <w:bookmarkStart w:id="208" w:name="_Hlk121907028"/>
            <w:r>
              <w:rPr>
                <w:rFonts w:hint="eastAsia" w:ascii="仿宋_GB2312" w:hAnsi="等线" w:eastAsia="仿宋_GB2312" w:cs="宋体"/>
                <w:color w:val="000000"/>
                <w:kern w:val="0"/>
                <w:sz w:val="24"/>
                <w:szCs w:val="24"/>
              </w:rPr>
              <w:t>知识产权项目数</w:t>
            </w:r>
            <w:bookmarkEnd w:id="208"/>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项</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49</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11</w:t>
            </w:r>
            <w:r>
              <w:rPr>
                <w:rFonts w:ascii="仿宋_GB2312" w:hAnsi="等线" w:eastAsia="仿宋_GB2312" w:cs="宋体"/>
                <w:color w:val="000000"/>
                <w:kern w:val="0"/>
                <w:sz w:val="24"/>
                <w:szCs w:val="24"/>
              </w:rPr>
              <w:t>1</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p>
        </w:tc>
        <w:tc>
          <w:tcPr>
            <w:tcW w:w="0" w:type="auto"/>
            <w:shd w:val="clear" w:color="auto" w:fill="DEEAF6" w:themeFill="accent5" w:themeFillTint="33"/>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其中：</w:t>
            </w:r>
            <w:bookmarkStart w:id="209" w:name="_Hlk121907347"/>
            <w:r>
              <w:rPr>
                <w:rFonts w:hint="eastAsia" w:ascii="仿宋_GB2312" w:hAnsi="等线" w:eastAsia="仿宋_GB2312" w:cs="宋体"/>
                <w:color w:val="000000"/>
                <w:kern w:val="0"/>
                <w:sz w:val="24"/>
                <w:szCs w:val="24"/>
              </w:rPr>
              <w:t>专利授权数量</w:t>
            </w:r>
            <w:bookmarkEnd w:id="209"/>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项</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39</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3</w:t>
            </w:r>
            <w:r>
              <w:rPr>
                <w:rFonts w:ascii="仿宋_GB2312" w:hAnsi="等线" w:eastAsia="仿宋_GB2312" w:cs="宋体"/>
                <w:color w:val="000000"/>
                <w:kern w:val="0"/>
                <w:sz w:val="24"/>
                <w:szCs w:val="24"/>
              </w:rPr>
              <w:t>1</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p>
        </w:tc>
        <w:tc>
          <w:tcPr>
            <w:tcW w:w="0" w:type="auto"/>
            <w:shd w:val="clear" w:color="auto" w:fill="BDD6EE" w:themeFill="accent5" w:themeFillTint="66"/>
          </w:tcPr>
          <w:p>
            <w:pPr>
              <w:widowControl/>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 xml:space="preserve">            </w:t>
            </w:r>
            <w:bookmarkStart w:id="210" w:name="_Hlk121907578"/>
            <w:r>
              <w:rPr>
                <w:rFonts w:hint="eastAsia" w:ascii="宋体" w:hAnsi="宋体" w:eastAsia="宋体" w:cs="Times New Roman"/>
                <w:color w:val="000000"/>
                <w:kern w:val="0"/>
                <w:sz w:val="24"/>
                <w:szCs w:val="24"/>
              </w:rPr>
              <w:t>发</w:t>
            </w:r>
            <w:r>
              <w:rPr>
                <w:rFonts w:hint="eastAsia" w:ascii="仿宋_GB2312" w:hAnsi="Times New Roman" w:eastAsia="仿宋_GB2312" w:cs="Times New Roman"/>
                <w:color w:val="000000"/>
                <w:kern w:val="0"/>
                <w:sz w:val="24"/>
                <w:szCs w:val="24"/>
              </w:rPr>
              <w:t>明</w:t>
            </w:r>
            <w:r>
              <w:rPr>
                <w:rFonts w:hint="eastAsia" w:ascii="宋体" w:hAnsi="宋体" w:eastAsia="宋体" w:cs="Times New Roman"/>
                <w:color w:val="000000"/>
                <w:kern w:val="0"/>
                <w:sz w:val="24"/>
                <w:szCs w:val="24"/>
              </w:rPr>
              <w:t>专</w:t>
            </w:r>
            <w:r>
              <w:rPr>
                <w:rFonts w:hint="eastAsia" w:ascii="仿宋_GB2312" w:hAnsi="Times New Roman" w:eastAsia="仿宋_GB2312" w:cs="Times New Roman"/>
                <w:color w:val="000000"/>
                <w:kern w:val="0"/>
                <w:sz w:val="24"/>
                <w:szCs w:val="24"/>
              </w:rPr>
              <w:t>利授</w:t>
            </w:r>
            <w:r>
              <w:rPr>
                <w:rFonts w:hint="eastAsia" w:ascii="宋体" w:hAnsi="宋体" w:eastAsia="宋体" w:cs="Times New Roman"/>
                <w:color w:val="000000"/>
                <w:kern w:val="0"/>
                <w:sz w:val="24"/>
                <w:szCs w:val="24"/>
              </w:rPr>
              <w:t>权数</w:t>
            </w:r>
            <w:r>
              <w:rPr>
                <w:rFonts w:hint="eastAsia" w:ascii="仿宋_GB2312" w:hAnsi="Times New Roman" w:eastAsia="仿宋_GB2312" w:cs="Times New Roman"/>
                <w:color w:val="000000"/>
                <w:kern w:val="0"/>
                <w:sz w:val="24"/>
                <w:szCs w:val="24"/>
              </w:rPr>
              <w:t>量</w:t>
            </w:r>
            <w:bookmarkEnd w:id="210"/>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项</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10</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2</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p>
        </w:tc>
        <w:tc>
          <w:tcPr>
            <w:tcW w:w="0" w:type="auto"/>
            <w:shd w:val="clear" w:color="auto" w:fill="DEEAF6" w:themeFill="accent5" w:themeFillTint="33"/>
          </w:tcPr>
          <w:p>
            <w:pPr>
              <w:widowControl/>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 xml:space="preserve">           </w:t>
            </w:r>
            <w:r>
              <w:rPr>
                <w:rFonts w:hint="eastAsia" w:ascii="宋体" w:hAnsi="宋体" w:eastAsia="宋体" w:cs="Times New Roman"/>
                <w:color w:val="000000"/>
                <w:kern w:val="0"/>
                <w:sz w:val="24"/>
                <w:szCs w:val="24"/>
              </w:rPr>
              <w:t>专</w:t>
            </w:r>
            <w:r>
              <w:rPr>
                <w:rFonts w:hint="eastAsia" w:ascii="仿宋_GB2312" w:hAnsi="Times New Roman" w:eastAsia="仿宋_GB2312" w:cs="Times New Roman"/>
                <w:color w:val="000000"/>
                <w:kern w:val="0"/>
                <w:sz w:val="24"/>
                <w:szCs w:val="24"/>
              </w:rPr>
              <w:t>利成果</w:t>
            </w:r>
            <w:r>
              <w:rPr>
                <w:rFonts w:hint="eastAsia" w:ascii="宋体" w:hAnsi="宋体" w:eastAsia="宋体" w:cs="Times New Roman"/>
                <w:color w:val="000000"/>
                <w:kern w:val="0"/>
                <w:sz w:val="24"/>
                <w:szCs w:val="24"/>
              </w:rPr>
              <w:t>转</w:t>
            </w:r>
            <w:r>
              <w:rPr>
                <w:rFonts w:hint="eastAsia" w:ascii="仿宋_GB2312" w:hAnsi="Times New Roman" w:eastAsia="仿宋_GB2312" w:cs="Times New Roman"/>
                <w:color w:val="000000"/>
                <w:kern w:val="0"/>
                <w:sz w:val="24"/>
                <w:szCs w:val="24"/>
              </w:rPr>
              <w:t>化到款</w:t>
            </w:r>
            <w:r>
              <w:rPr>
                <w:rFonts w:hint="eastAsia" w:ascii="宋体" w:hAnsi="宋体" w:eastAsia="宋体" w:cs="Times New Roman"/>
                <w:color w:val="000000"/>
                <w:kern w:val="0"/>
                <w:sz w:val="24"/>
                <w:szCs w:val="24"/>
              </w:rPr>
              <w:t>额</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万元</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0</w:t>
            </w:r>
            <w:r>
              <w:rPr>
                <w:rFonts w:ascii="仿宋_GB2312" w:hAnsi="等线" w:eastAsia="仿宋_GB2312" w:cs="宋体"/>
                <w:color w:val="000000"/>
                <w:kern w:val="0"/>
                <w:sz w:val="24"/>
                <w:szCs w:val="24"/>
              </w:rPr>
              <w:t>.00</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0</w:t>
            </w:r>
            <w:r>
              <w:rPr>
                <w:rFonts w:ascii="仿宋_GB2312" w:hAnsi="等线" w:eastAsia="仿宋_GB2312" w:cs="宋体"/>
                <w:color w:val="000000"/>
                <w:kern w:val="0"/>
                <w:sz w:val="24"/>
                <w:szCs w:val="24"/>
              </w:rPr>
              <w:t>.00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restart"/>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7</w:t>
            </w:r>
          </w:p>
        </w:tc>
        <w:tc>
          <w:tcPr>
            <w:tcW w:w="0" w:type="auto"/>
            <w:shd w:val="clear" w:color="auto" w:fill="BDD6EE" w:themeFill="accent5" w:themeFillTint="66"/>
          </w:tcPr>
          <w:p>
            <w:pPr>
              <w:widowControl/>
              <w:jc w:val="left"/>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非学历培训项目数</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项</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0</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2</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continue"/>
            <w:tcBorders>
              <w:left w:val="single" w:color="CCE8CF" w:themeColor="background1" w:sz="4" w:space="0"/>
            </w:tcBorders>
            <w:shd w:val="clear" w:color="auto" w:fill="5B9BD5" w:themeFill="accent5"/>
            <w:vAlign w:val="center"/>
          </w:tcPr>
          <w:p>
            <w:pPr>
              <w:widowControl/>
              <w:jc w:val="center"/>
              <w:rPr>
                <w:rFonts w:ascii="Times New Roman" w:hAnsi="Times New Roman" w:eastAsia="等线" w:cs="Times New Roman"/>
                <w:b w:val="0"/>
                <w:bCs w:val="0"/>
                <w:color w:val="000000"/>
                <w:kern w:val="0"/>
                <w:sz w:val="24"/>
                <w:szCs w:val="24"/>
              </w:rPr>
            </w:pPr>
          </w:p>
        </w:tc>
        <w:tc>
          <w:tcPr>
            <w:tcW w:w="0" w:type="auto"/>
            <w:shd w:val="clear" w:color="auto" w:fill="DEEAF6" w:themeFill="accent5" w:themeFillTint="33"/>
          </w:tcPr>
          <w:p>
            <w:pPr>
              <w:widowControl/>
              <w:jc w:val="left"/>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非学历培训学时</w:t>
            </w:r>
          </w:p>
        </w:tc>
        <w:tc>
          <w:tcPr>
            <w:tcW w:w="0" w:type="auto"/>
            <w:shd w:val="clear" w:color="auto" w:fill="DEEAF6" w:themeFill="accent5" w:themeFillTint="33"/>
          </w:tcPr>
          <w:p>
            <w:pPr>
              <w:widowControl/>
              <w:jc w:val="center"/>
              <w:rPr>
                <w:rFonts w:ascii="宋体" w:hAnsi="宋体" w:eastAsia="宋体" w:cs="宋体"/>
                <w:color w:val="000000"/>
                <w:kern w:val="0"/>
                <w:sz w:val="24"/>
                <w:szCs w:val="24"/>
              </w:rPr>
            </w:pPr>
            <w:r>
              <w:rPr>
                <w:rFonts w:hint="eastAsia" w:ascii="宋体" w:hAnsi="宋体" w:eastAsia="宋体" w:cs="宋体"/>
                <w:color w:val="000000"/>
                <w:kern w:val="0"/>
                <w:sz w:val="24"/>
                <w:szCs w:val="24"/>
              </w:rPr>
              <w:t>学时</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0</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291</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continue"/>
            <w:tcBorders>
              <w:left w:val="single" w:color="CCE8CF" w:themeColor="background1" w:sz="4" w:space="0"/>
            </w:tcBorders>
            <w:shd w:val="clear" w:color="auto" w:fill="5B9BD5" w:themeFill="accent5"/>
            <w:vAlign w:val="center"/>
          </w:tcPr>
          <w:p>
            <w:pPr>
              <w:widowControl/>
              <w:jc w:val="center"/>
              <w:rPr>
                <w:rFonts w:ascii="Times New Roman" w:hAnsi="Times New Roman" w:eastAsia="等线" w:cs="Times New Roman"/>
                <w:b w:val="0"/>
                <w:bCs w:val="0"/>
                <w:color w:val="000000"/>
                <w:kern w:val="0"/>
                <w:sz w:val="24"/>
                <w:szCs w:val="24"/>
              </w:rPr>
            </w:pPr>
          </w:p>
        </w:tc>
        <w:tc>
          <w:tcPr>
            <w:tcW w:w="0" w:type="auto"/>
            <w:shd w:val="clear" w:color="auto" w:fill="BDD6EE" w:themeFill="accent5" w:themeFillTint="66"/>
          </w:tcPr>
          <w:p>
            <w:pPr>
              <w:widowControl/>
              <w:jc w:val="left"/>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非学历培训到账经费</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万元</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0</w:t>
            </w:r>
            <w:r>
              <w:rPr>
                <w:rFonts w:ascii="仿宋_GB2312" w:hAnsi="等线" w:eastAsia="仿宋_GB2312" w:cs="宋体"/>
                <w:color w:val="000000"/>
                <w:kern w:val="0"/>
                <w:sz w:val="24"/>
                <w:szCs w:val="24"/>
              </w:rPr>
              <w:t>.00</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bookmarkStart w:id="211" w:name="_Hlk121908700"/>
            <w:r>
              <w:rPr>
                <w:rFonts w:ascii="仿宋_GB2312" w:hAnsi="等线" w:eastAsia="仿宋_GB2312" w:cs="宋体"/>
                <w:color w:val="000000"/>
                <w:kern w:val="0"/>
                <w:sz w:val="24"/>
                <w:szCs w:val="24"/>
              </w:rPr>
              <w:t>26.</w:t>
            </w:r>
            <w:bookmarkEnd w:id="211"/>
            <w:r>
              <w:rPr>
                <w:rFonts w:ascii="仿宋_GB2312" w:hAnsi="等线" w:eastAsia="仿宋_GB2312" w:cs="宋体"/>
                <w:color w:val="000000"/>
                <w:kern w:val="0"/>
                <w:sz w:val="24"/>
                <w:szCs w:val="24"/>
              </w:rPr>
              <w:t>40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tcBorders>
              <w:left w:val="single" w:color="CCE8CF" w:themeColor="background1" w:sz="4" w:space="0"/>
              <w:bottom w:val="single" w:color="CCE8CF" w:themeColor="background1" w:sz="4" w:space="0"/>
            </w:tcBorders>
            <w:shd w:val="clear" w:color="auto" w:fill="5B9BD5" w:themeFill="accent5"/>
            <w:vAlign w:val="center"/>
          </w:tcPr>
          <w:p>
            <w:pPr>
              <w:widowControl/>
              <w:jc w:val="center"/>
              <w:rPr>
                <w:rFonts w:ascii="Times New Roman" w:hAnsi="Times New Roman" w:eastAsia="等线" w:cs="Times New Roman"/>
                <w:b w:val="0"/>
                <w:bCs w:val="0"/>
                <w:color w:val="000000"/>
                <w:kern w:val="0"/>
                <w:sz w:val="24"/>
                <w:szCs w:val="24"/>
              </w:rPr>
            </w:pPr>
            <w:r>
              <w:rPr>
                <w:rFonts w:hint="eastAsia" w:ascii="仿宋" w:hAnsi="仿宋" w:eastAsia="仿宋"/>
                <w:b/>
                <w:bCs/>
                <w:color w:val="CCE8CF" w:themeColor="background1"/>
                <w:kern w:val="0"/>
                <w:sz w:val="24"/>
                <w:szCs w:val="24"/>
              </w:rPr>
              <w:t>8</w:t>
            </w:r>
          </w:p>
        </w:tc>
        <w:tc>
          <w:tcPr>
            <w:tcW w:w="0" w:type="auto"/>
            <w:shd w:val="clear" w:color="auto" w:fill="DEEAF6" w:themeFill="accent5" w:themeFillTint="33"/>
          </w:tcPr>
          <w:p>
            <w:pPr>
              <w:widowControl/>
              <w:jc w:val="left"/>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公益项目培训学时</w:t>
            </w:r>
          </w:p>
        </w:tc>
        <w:tc>
          <w:tcPr>
            <w:tcW w:w="0" w:type="auto"/>
            <w:shd w:val="clear" w:color="auto" w:fill="DEEAF6" w:themeFill="accent5" w:themeFillTint="33"/>
          </w:tcPr>
          <w:p>
            <w:pPr>
              <w:widowControl/>
              <w:jc w:val="center"/>
              <w:rPr>
                <w:rFonts w:ascii="宋体" w:hAnsi="宋体" w:eastAsia="宋体" w:cs="宋体"/>
                <w:color w:val="000000"/>
                <w:kern w:val="0"/>
                <w:sz w:val="24"/>
                <w:szCs w:val="24"/>
              </w:rPr>
            </w:pPr>
            <w:r>
              <w:rPr>
                <w:rFonts w:hint="eastAsia" w:ascii="宋体" w:hAnsi="宋体" w:eastAsia="宋体" w:cs="宋体"/>
                <w:color w:val="000000"/>
                <w:kern w:val="0"/>
                <w:sz w:val="24"/>
                <w:szCs w:val="24"/>
              </w:rPr>
              <w:t>学时</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0</w:t>
            </w:r>
          </w:p>
        </w:tc>
        <w:tc>
          <w:tcPr>
            <w:tcW w:w="0" w:type="auto"/>
            <w:shd w:val="clear" w:color="auto" w:fill="DEEAF6" w:themeFill="accent5" w:themeFillTint="33"/>
          </w:tcPr>
          <w:p>
            <w:pPr>
              <w:keepNext/>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0</w:t>
            </w:r>
          </w:p>
        </w:tc>
      </w:tr>
    </w:tbl>
    <w:p>
      <w:pPr>
        <w:pStyle w:val="3"/>
        <w:spacing w:before="0" w:after="0" w:line="360" w:lineRule="auto"/>
        <w:ind w:firstLine="562" w:firstLineChars="200"/>
        <w:rPr>
          <w:rFonts w:ascii="仿宋_GB2312" w:eastAsia="仿宋_GB2312" w:hAnsiTheme="minorEastAsia"/>
          <w:sz w:val="28"/>
          <w:szCs w:val="28"/>
        </w:rPr>
      </w:pPr>
      <w:bookmarkStart w:id="212" w:name="_Toc532826567"/>
      <w:bookmarkStart w:id="213" w:name="_Toc500492313"/>
      <w:bookmarkStart w:id="214" w:name="_Toc124087898"/>
      <w:bookmarkStart w:id="215" w:name="_Toc533519416"/>
      <w:r>
        <w:rPr>
          <w:rFonts w:hint="eastAsia" w:ascii="仿宋_GB2312" w:eastAsia="仿宋_GB2312" w:hAnsiTheme="minorEastAsia"/>
          <w:sz w:val="28"/>
          <w:szCs w:val="28"/>
        </w:rPr>
        <w:t>3</w:t>
      </w:r>
      <w:r>
        <w:rPr>
          <w:rFonts w:ascii="仿宋_GB2312" w:eastAsia="仿宋_GB2312" w:hAnsiTheme="minorEastAsia"/>
          <w:sz w:val="28"/>
          <w:szCs w:val="28"/>
        </w:rPr>
        <w:t>.1</w:t>
      </w:r>
      <w:bookmarkEnd w:id="212"/>
      <w:bookmarkEnd w:id="213"/>
      <w:r>
        <w:rPr>
          <w:rFonts w:hint="eastAsia" w:ascii="仿宋_GB2312" w:eastAsia="仿宋_GB2312" w:hAnsiTheme="minorEastAsia"/>
          <w:sz w:val="28"/>
          <w:szCs w:val="28"/>
        </w:rPr>
        <w:t>培训服务</w:t>
      </w:r>
      <w:bookmarkEnd w:id="214"/>
      <w:bookmarkEnd w:id="215"/>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作为民办高职院校，该校主动适应社会需求，开展多种培训服务。本学年该校非学历培训项目，主要是国际商学院举办的“南通开发区财政财务人员综合素质提升”培训班、医学与公共服务学院举办的“养老护理员培训”培训班。机电学院接受江苏苏学智能科技公司委托，共接受两批河南三门峡社会管理职业学院80余名学生，开展岗前培训7—10天，培训科目是工业机器人编程和PLC应用编程。医学与公共服务学院骨干教师利用工作之余，积极参与苏州市的美国心脏协会 AHA-HS 急救培训和健康管理师职业资格证书社会培训服务。</w:t>
      </w:r>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该校继续教育学院面向社会开展的成人学历教育工作时间较短，从</w:t>
      </w:r>
      <w:r>
        <w:rPr>
          <w:rFonts w:ascii="仿宋" w:hAnsi="仿宋" w:eastAsia="仿宋"/>
          <w:sz w:val="28"/>
          <w:szCs w:val="28"/>
        </w:rPr>
        <w:t>2015</w:t>
      </w:r>
      <w:r>
        <w:rPr>
          <w:rFonts w:hint="eastAsia" w:ascii="仿宋" w:hAnsi="仿宋" w:eastAsia="仿宋"/>
          <w:sz w:val="28"/>
          <w:szCs w:val="28"/>
        </w:rPr>
        <w:t>年</w:t>
      </w:r>
      <w:r>
        <w:rPr>
          <w:rFonts w:ascii="仿宋" w:hAnsi="仿宋" w:eastAsia="仿宋"/>
          <w:sz w:val="28"/>
          <w:szCs w:val="28"/>
        </w:rPr>
        <w:t>8</w:t>
      </w:r>
      <w:r>
        <w:rPr>
          <w:rFonts w:hint="eastAsia" w:ascii="仿宋" w:hAnsi="仿宋" w:eastAsia="仿宋"/>
          <w:sz w:val="28"/>
          <w:szCs w:val="28"/>
        </w:rPr>
        <w:t>月江苏省教育厅批复同意我院举办成人专科学历教育以来，</w:t>
      </w:r>
      <w:r>
        <w:rPr>
          <w:rFonts w:ascii="仿宋" w:hAnsi="仿宋" w:eastAsia="仿宋"/>
          <w:sz w:val="28"/>
          <w:szCs w:val="28"/>
        </w:rPr>
        <w:t>2018年录取5个专业共154人，2019年录取5个专业共454人，2020年录取6个专业</w:t>
      </w:r>
      <w:r>
        <w:rPr>
          <w:rFonts w:hint="eastAsia" w:ascii="仿宋" w:hAnsi="仿宋" w:eastAsia="仿宋"/>
          <w:sz w:val="28"/>
          <w:szCs w:val="28"/>
        </w:rPr>
        <w:t>已招生</w:t>
      </w:r>
      <w:r>
        <w:rPr>
          <w:rFonts w:ascii="仿宋" w:hAnsi="仿宋" w:eastAsia="仿宋"/>
          <w:sz w:val="28"/>
          <w:szCs w:val="28"/>
        </w:rPr>
        <w:t>716人</w:t>
      </w:r>
      <w:r>
        <w:rPr>
          <w:rFonts w:hint="eastAsia" w:ascii="仿宋" w:hAnsi="仿宋" w:eastAsia="仿宋"/>
          <w:sz w:val="28"/>
          <w:szCs w:val="28"/>
        </w:rPr>
        <w:t>，2021年录取5个专业，招生1146人。2</w:t>
      </w:r>
      <w:r>
        <w:rPr>
          <w:rFonts w:ascii="仿宋" w:hAnsi="仿宋" w:eastAsia="仿宋"/>
          <w:sz w:val="28"/>
          <w:szCs w:val="28"/>
        </w:rPr>
        <w:t>022</w:t>
      </w:r>
      <w:r>
        <w:rPr>
          <w:rFonts w:hint="eastAsia" w:ascii="仿宋" w:hAnsi="仿宋" w:eastAsia="仿宋"/>
          <w:sz w:val="28"/>
          <w:szCs w:val="28"/>
        </w:rPr>
        <w:t>拟招生7个专业， 1</w:t>
      </w:r>
      <w:r>
        <w:rPr>
          <w:rFonts w:ascii="仿宋" w:hAnsi="仿宋" w:eastAsia="仿宋"/>
          <w:sz w:val="28"/>
          <w:szCs w:val="28"/>
        </w:rPr>
        <w:t>840</w:t>
      </w:r>
      <w:r>
        <w:rPr>
          <w:rFonts w:hint="eastAsia" w:ascii="仿宋" w:hAnsi="仿宋" w:eastAsia="仿宋"/>
          <w:sz w:val="28"/>
          <w:szCs w:val="28"/>
        </w:rPr>
        <w:t>人。2020届首届毕业学生</w:t>
      </w:r>
      <w:r>
        <w:rPr>
          <w:rFonts w:ascii="仿宋" w:hAnsi="仿宋" w:eastAsia="仿宋"/>
          <w:sz w:val="28"/>
          <w:szCs w:val="28"/>
        </w:rPr>
        <w:t>有149人</w:t>
      </w:r>
      <w:r>
        <w:rPr>
          <w:rFonts w:hint="eastAsia" w:ascii="仿宋" w:hAnsi="仿宋" w:eastAsia="仿宋"/>
          <w:sz w:val="28"/>
          <w:szCs w:val="28"/>
        </w:rPr>
        <w:t xml:space="preserve">，2021届毕业生449人。 </w:t>
      </w:r>
      <w:r>
        <w:rPr>
          <w:rFonts w:ascii="仿宋" w:hAnsi="仿宋" w:eastAsia="仿宋"/>
          <w:sz w:val="28"/>
          <w:szCs w:val="28"/>
        </w:rPr>
        <w:t>2022</w:t>
      </w:r>
      <w:r>
        <w:rPr>
          <w:rFonts w:hint="eastAsia" w:ascii="仿宋" w:hAnsi="仿宋" w:eastAsia="仿宋"/>
          <w:sz w:val="28"/>
          <w:szCs w:val="28"/>
        </w:rPr>
        <w:t>届毕业6</w:t>
      </w:r>
      <w:r>
        <w:rPr>
          <w:rFonts w:ascii="仿宋" w:hAnsi="仿宋" w:eastAsia="仿宋"/>
          <w:sz w:val="28"/>
          <w:szCs w:val="28"/>
        </w:rPr>
        <w:t>62</w:t>
      </w:r>
      <w:r>
        <w:rPr>
          <w:rFonts w:hint="eastAsia" w:ascii="仿宋" w:hAnsi="仿宋" w:eastAsia="仿宋"/>
          <w:sz w:val="28"/>
          <w:szCs w:val="28"/>
        </w:rPr>
        <w:t>人。学生毕业率分别为：</w:t>
      </w:r>
      <w:r>
        <w:rPr>
          <w:rFonts w:ascii="仿宋" w:hAnsi="仿宋" w:eastAsia="仿宋"/>
          <w:sz w:val="28"/>
          <w:szCs w:val="28"/>
        </w:rPr>
        <w:t xml:space="preserve"> 96.75%</w:t>
      </w:r>
      <w:r>
        <w:rPr>
          <w:rFonts w:hint="eastAsia" w:ascii="仿宋" w:hAnsi="仿宋" w:eastAsia="仿宋"/>
          <w:sz w:val="28"/>
          <w:szCs w:val="28"/>
        </w:rPr>
        <w:t>；</w:t>
      </w:r>
      <w:r>
        <w:rPr>
          <w:rFonts w:ascii="仿宋" w:hAnsi="仿宋" w:eastAsia="仿宋"/>
          <w:sz w:val="28"/>
          <w:szCs w:val="28"/>
        </w:rPr>
        <w:t xml:space="preserve"> 93.40%</w:t>
      </w:r>
      <w:r>
        <w:rPr>
          <w:rFonts w:ascii="Calibri" w:hAnsi="Calibri" w:eastAsia="仿宋" w:cs="Calibri"/>
          <w:sz w:val="28"/>
          <w:szCs w:val="28"/>
        </w:rPr>
        <w:t> </w:t>
      </w:r>
      <w:r>
        <w:rPr>
          <w:rFonts w:hint="eastAsia" w:ascii="Calibri" w:hAnsi="Calibri" w:eastAsia="仿宋" w:cs="Calibri"/>
          <w:sz w:val="28"/>
          <w:szCs w:val="28"/>
        </w:rPr>
        <w:t>；</w:t>
      </w:r>
      <w:r>
        <w:rPr>
          <w:rFonts w:ascii="仿宋" w:hAnsi="仿宋" w:eastAsia="仿宋"/>
          <w:sz w:val="28"/>
          <w:szCs w:val="28"/>
        </w:rPr>
        <w:t xml:space="preserve"> 95.94%</w:t>
      </w:r>
      <w:r>
        <w:rPr>
          <w:rFonts w:hint="eastAsia" w:ascii="仿宋" w:hAnsi="仿宋" w:eastAsia="仿宋"/>
          <w:sz w:val="28"/>
          <w:szCs w:val="28"/>
        </w:rPr>
        <w:t>。</w:t>
      </w:r>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 xml:space="preserve"> 学校重视利用所办专业优势服务社会， 2016年在苏州市政府及苏州军分区领导的支持下，开启的利用无人机应用技术专业优势，与虎丘区人武部共同组建成立江苏省首支无人机民兵分队，每年开展一次专业应用培训。2020年从虎丘区人武部的服务面向上升到了苏州军分区，培训52人；2021年培训93人。2</w:t>
      </w:r>
      <w:r>
        <w:rPr>
          <w:rFonts w:ascii="仿宋" w:hAnsi="仿宋" w:eastAsia="仿宋"/>
          <w:sz w:val="28"/>
          <w:szCs w:val="28"/>
        </w:rPr>
        <w:t>022</w:t>
      </w:r>
      <w:r>
        <w:rPr>
          <w:rFonts w:hint="eastAsia" w:ascii="仿宋" w:hAnsi="仿宋" w:eastAsia="仿宋"/>
          <w:sz w:val="28"/>
          <w:szCs w:val="28"/>
        </w:rPr>
        <w:t>年培训3</w:t>
      </w:r>
      <w:r>
        <w:rPr>
          <w:rFonts w:ascii="仿宋" w:hAnsi="仿宋" w:eastAsia="仿宋"/>
          <w:sz w:val="28"/>
          <w:szCs w:val="28"/>
        </w:rPr>
        <w:t>7</w:t>
      </w:r>
      <w:r>
        <w:rPr>
          <w:rFonts w:hint="eastAsia" w:ascii="仿宋" w:hAnsi="仿宋" w:eastAsia="仿宋"/>
          <w:sz w:val="28"/>
          <w:szCs w:val="28"/>
        </w:rPr>
        <w:t>人（见图</w:t>
      </w:r>
      <w:r>
        <w:rPr>
          <w:rFonts w:ascii="仿宋" w:hAnsi="仿宋" w:eastAsia="仿宋"/>
          <w:sz w:val="28"/>
          <w:szCs w:val="28"/>
        </w:rPr>
        <w:t>3.1</w:t>
      </w:r>
      <w:r>
        <w:rPr>
          <w:rFonts w:hint="eastAsia" w:ascii="仿宋" w:hAnsi="仿宋" w:eastAsia="仿宋"/>
          <w:sz w:val="28"/>
          <w:szCs w:val="28"/>
        </w:rPr>
        <w:t>）。该校作为面向社会人员招生试点院校，2019年酒店管理专业启动的社会招生有1</w:t>
      </w:r>
      <w:r>
        <w:rPr>
          <w:rFonts w:ascii="仿宋" w:hAnsi="仿宋" w:eastAsia="仿宋"/>
          <w:sz w:val="28"/>
          <w:szCs w:val="28"/>
        </w:rPr>
        <w:t>4</w:t>
      </w:r>
      <w:r>
        <w:rPr>
          <w:rFonts w:hint="eastAsia" w:ascii="仿宋" w:hAnsi="仿宋" w:eastAsia="仿宋"/>
          <w:sz w:val="28"/>
          <w:szCs w:val="28"/>
        </w:rPr>
        <w:t>人，培训周期接近尾声。</w:t>
      </w:r>
    </w:p>
    <w:p>
      <w:pPr>
        <w:keepNext/>
        <w:adjustRightInd w:val="0"/>
        <w:snapToGrid w:val="0"/>
        <w:spacing w:line="360" w:lineRule="auto"/>
        <w:ind w:firstLine="420" w:firstLineChars="200"/>
        <w:jc w:val="center"/>
      </w:pPr>
      <w:r>
        <w:drawing>
          <wp:inline distT="0" distB="0" distL="0" distR="0">
            <wp:extent cx="4381500" cy="162877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4381500" cy="1628775"/>
                    </a:xfrm>
                    <a:prstGeom prst="rect">
                      <a:avLst/>
                    </a:prstGeom>
                    <a:noFill/>
                    <a:ln>
                      <a:noFill/>
                    </a:ln>
                  </pic:spPr>
                </pic:pic>
              </a:graphicData>
            </a:graphic>
          </wp:inline>
        </w:drawing>
      </w:r>
    </w:p>
    <w:p>
      <w:pPr>
        <w:adjustRightInd w:val="0"/>
        <w:snapToGrid w:val="0"/>
        <w:spacing w:line="360" w:lineRule="auto"/>
        <w:ind w:firstLine="3373" w:firstLineChars="1400"/>
        <w:rPr>
          <w:rFonts w:ascii="仿宋_GB2312" w:eastAsia="仿宋_GB2312"/>
          <w:b/>
          <w:sz w:val="24"/>
          <w:szCs w:val="24"/>
        </w:rPr>
      </w:pPr>
      <w:bookmarkStart w:id="216" w:name="_Toc124169696"/>
      <w:r>
        <w:rPr>
          <w:rFonts w:hint="eastAsia" w:ascii="仿宋_GB2312" w:eastAsia="仿宋_GB2312"/>
          <w:b/>
          <w:sz w:val="24"/>
          <w:szCs w:val="24"/>
        </w:rPr>
        <w:t xml:space="preserve">图3. </w:t>
      </w:r>
      <w:r>
        <w:rPr>
          <w:rFonts w:ascii="仿宋_GB2312" w:eastAsia="仿宋_GB2312"/>
          <w:b/>
          <w:sz w:val="24"/>
          <w:szCs w:val="24"/>
        </w:rPr>
        <w:fldChar w:fldCharType="begin"/>
      </w:r>
      <w:r>
        <w:rPr>
          <w:rFonts w:ascii="仿宋_GB2312" w:eastAsia="仿宋_GB2312"/>
          <w:b/>
          <w:sz w:val="24"/>
          <w:szCs w:val="24"/>
        </w:rPr>
        <w:instrText xml:space="preserve"> </w:instrText>
      </w:r>
      <w:r>
        <w:rPr>
          <w:rFonts w:hint="eastAsia" w:ascii="仿宋_GB2312" w:eastAsia="仿宋_GB2312"/>
          <w:b/>
          <w:sz w:val="24"/>
          <w:szCs w:val="24"/>
        </w:rPr>
        <w:instrText xml:space="preserve">SEQ 图3. \* ARABIC</w:instrText>
      </w:r>
      <w:r>
        <w:rPr>
          <w:rFonts w:ascii="仿宋_GB2312" w:eastAsia="仿宋_GB2312"/>
          <w:b/>
          <w:sz w:val="24"/>
          <w:szCs w:val="24"/>
        </w:rPr>
        <w:instrText xml:space="preserve"> </w:instrText>
      </w:r>
      <w:r>
        <w:rPr>
          <w:rFonts w:ascii="仿宋_GB2312" w:eastAsia="仿宋_GB2312"/>
          <w:b/>
          <w:sz w:val="24"/>
          <w:szCs w:val="24"/>
        </w:rPr>
        <w:fldChar w:fldCharType="separate"/>
      </w:r>
      <w:r>
        <w:rPr>
          <w:rFonts w:ascii="仿宋_GB2312" w:eastAsia="仿宋_GB2312"/>
          <w:b/>
          <w:sz w:val="24"/>
          <w:szCs w:val="24"/>
        </w:rPr>
        <w:t>1</w:t>
      </w:r>
      <w:r>
        <w:rPr>
          <w:rFonts w:ascii="仿宋_GB2312" w:eastAsia="仿宋_GB2312"/>
          <w:b/>
          <w:sz w:val="24"/>
          <w:szCs w:val="24"/>
        </w:rPr>
        <w:fldChar w:fldCharType="end"/>
      </w:r>
      <w:r>
        <w:rPr>
          <w:rFonts w:ascii="仿宋_GB2312" w:eastAsia="仿宋_GB2312"/>
          <w:b/>
          <w:sz w:val="24"/>
          <w:szCs w:val="24"/>
        </w:rPr>
        <w:t xml:space="preserve"> </w:t>
      </w:r>
      <w:bookmarkStart w:id="217" w:name="_Hlk121993035"/>
      <w:r>
        <w:rPr>
          <w:rFonts w:hint="eastAsia" w:ascii="仿宋_GB2312" w:eastAsia="仿宋_GB2312"/>
          <w:b/>
          <w:sz w:val="24"/>
          <w:szCs w:val="24"/>
        </w:rPr>
        <w:t>无人机培训现场</w:t>
      </w:r>
      <w:bookmarkEnd w:id="216"/>
    </w:p>
    <w:bookmarkEnd w:id="217"/>
    <w:p>
      <w:pPr>
        <w:pStyle w:val="3"/>
        <w:spacing w:before="0" w:after="0" w:line="360" w:lineRule="auto"/>
        <w:ind w:firstLine="562" w:firstLineChars="200"/>
        <w:rPr>
          <w:rFonts w:ascii="仿宋_GB2312" w:eastAsia="仿宋_GB2312" w:hAnsiTheme="minorEastAsia"/>
          <w:sz w:val="28"/>
          <w:szCs w:val="28"/>
        </w:rPr>
      </w:pPr>
      <w:bookmarkStart w:id="218" w:name="_Toc533519417"/>
      <w:bookmarkStart w:id="219" w:name="_Toc124087899"/>
      <w:r>
        <w:rPr>
          <w:rFonts w:hint="eastAsia" w:ascii="仿宋_GB2312" w:eastAsia="仿宋_GB2312" w:hAnsiTheme="minorEastAsia"/>
          <w:sz w:val="28"/>
          <w:szCs w:val="28"/>
        </w:rPr>
        <w:t>3</w:t>
      </w:r>
      <w:r>
        <w:rPr>
          <w:rFonts w:ascii="仿宋_GB2312" w:eastAsia="仿宋_GB2312" w:hAnsiTheme="minorEastAsia"/>
          <w:sz w:val="28"/>
          <w:szCs w:val="28"/>
        </w:rPr>
        <w:t>.</w:t>
      </w:r>
      <w:r>
        <w:rPr>
          <w:rFonts w:hint="eastAsia" w:ascii="仿宋_GB2312" w:eastAsia="仿宋_GB2312" w:hAnsiTheme="minorEastAsia"/>
          <w:sz w:val="28"/>
          <w:szCs w:val="28"/>
        </w:rPr>
        <w:t>2科技</w:t>
      </w:r>
      <w:bookmarkEnd w:id="218"/>
      <w:r>
        <w:rPr>
          <w:rFonts w:hint="eastAsia" w:ascii="仿宋_GB2312" w:eastAsia="仿宋_GB2312" w:hAnsiTheme="minorEastAsia"/>
          <w:sz w:val="28"/>
          <w:szCs w:val="28"/>
        </w:rPr>
        <w:t>工作</w:t>
      </w:r>
      <w:bookmarkEnd w:id="219"/>
    </w:p>
    <w:p>
      <w:pPr>
        <w:ind w:firstLine="560" w:firstLineChars="200"/>
        <w:rPr>
          <w:rFonts w:ascii="仿宋" w:hAnsi="仿宋" w:eastAsia="仿宋"/>
          <w:sz w:val="28"/>
          <w:szCs w:val="28"/>
        </w:rPr>
      </w:pPr>
      <w:bookmarkStart w:id="220" w:name="_Toc500492318"/>
      <w:bookmarkStart w:id="221" w:name="_Toc532826573"/>
      <w:bookmarkStart w:id="222" w:name="_Toc533519419"/>
      <w:r>
        <w:rPr>
          <w:rFonts w:hint="eastAsia" w:ascii="仿宋" w:hAnsi="仿宋" w:eastAsia="仿宋"/>
          <w:sz w:val="28"/>
          <w:szCs w:val="28"/>
        </w:rPr>
        <w:t>学校高度重视科研工作和技术服务工作，成效明显。技术服务到款额67.07万元；横向技术服务产生的经济效益为1</w:t>
      </w:r>
      <w:r>
        <w:rPr>
          <w:rFonts w:ascii="仿宋" w:hAnsi="仿宋" w:eastAsia="仿宋"/>
          <w:sz w:val="28"/>
          <w:szCs w:val="28"/>
        </w:rPr>
        <w:t>07</w:t>
      </w:r>
      <w:r>
        <w:rPr>
          <w:rFonts w:hint="eastAsia" w:ascii="仿宋" w:hAnsi="仿宋" w:eastAsia="仿宋"/>
          <w:sz w:val="28"/>
          <w:szCs w:val="28"/>
        </w:rPr>
        <w:t>万元。科研工作：获得软件著作权</w:t>
      </w:r>
      <w:r>
        <w:rPr>
          <w:rFonts w:ascii="仿宋" w:hAnsi="仿宋" w:eastAsia="仿宋"/>
          <w:sz w:val="28"/>
          <w:szCs w:val="28"/>
        </w:rPr>
        <w:t>78</w:t>
      </w:r>
      <w:r>
        <w:rPr>
          <w:rFonts w:hint="eastAsia" w:ascii="仿宋" w:hAnsi="仿宋" w:eastAsia="仿宋"/>
          <w:sz w:val="28"/>
          <w:szCs w:val="28"/>
        </w:rPr>
        <w:t>项；专利权</w:t>
      </w:r>
      <w:r>
        <w:rPr>
          <w:rFonts w:ascii="仿宋" w:hAnsi="仿宋" w:eastAsia="仿宋"/>
          <w:sz w:val="28"/>
          <w:szCs w:val="28"/>
        </w:rPr>
        <w:t>38</w:t>
      </w:r>
      <w:r>
        <w:rPr>
          <w:rFonts w:hint="eastAsia" w:ascii="仿宋" w:hAnsi="仿宋" w:eastAsia="仿宋"/>
          <w:sz w:val="28"/>
          <w:szCs w:val="28"/>
        </w:rPr>
        <w:t>项，其中，发明专利</w:t>
      </w:r>
      <w:r>
        <w:rPr>
          <w:rFonts w:ascii="仿宋" w:hAnsi="仿宋" w:eastAsia="仿宋"/>
          <w:sz w:val="28"/>
          <w:szCs w:val="28"/>
        </w:rPr>
        <w:t>4</w:t>
      </w:r>
      <w:r>
        <w:rPr>
          <w:rFonts w:hint="eastAsia" w:ascii="仿宋" w:hAnsi="仿宋" w:eastAsia="仿宋"/>
          <w:sz w:val="28"/>
          <w:szCs w:val="28"/>
        </w:rPr>
        <w:t>项，实用新型</w:t>
      </w:r>
      <w:r>
        <w:rPr>
          <w:rFonts w:ascii="仿宋" w:hAnsi="仿宋" w:eastAsia="仿宋"/>
          <w:sz w:val="28"/>
          <w:szCs w:val="28"/>
        </w:rPr>
        <w:t>34</w:t>
      </w:r>
      <w:r>
        <w:rPr>
          <w:rFonts w:hint="eastAsia" w:ascii="仿宋" w:hAnsi="仿宋" w:eastAsia="仿宋"/>
          <w:sz w:val="28"/>
          <w:szCs w:val="28"/>
        </w:rPr>
        <w:t>项。公开发表论文</w:t>
      </w:r>
      <w:r>
        <w:rPr>
          <w:rFonts w:ascii="仿宋" w:hAnsi="仿宋" w:eastAsia="仿宋"/>
          <w:sz w:val="28"/>
          <w:szCs w:val="28"/>
        </w:rPr>
        <w:t>110</w:t>
      </w:r>
      <w:r>
        <w:rPr>
          <w:rFonts w:hint="eastAsia" w:ascii="仿宋" w:hAnsi="仿宋" w:eastAsia="仿宋"/>
          <w:sz w:val="28"/>
          <w:szCs w:val="28"/>
        </w:rPr>
        <w:t>篇。科研项目立项</w:t>
      </w:r>
      <w:r>
        <w:rPr>
          <w:rFonts w:ascii="仿宋" w:hAnsi="仿宋" w:eastAsia="仿宋"/>
          <w:sz w:val="28"/>
          <w:szCs w:val="28"/>
        </w:rPr>
        <w:t>78</w:t>
      </w:r>
      <w:r>
        <w:rPr>
          <w:rFonts w:hint="eastAsia" w:ascii="仿宋" w:hAnsi="仿宋" w:eastAsia="仿宋"/>
          <w:sz w:val="28"/>
          <w:szCs w:val="28"/>
        </w:rPr>
        <w:t>项，其中省部级项目</w:t>
      </w:r>
      <w:r>
        <w:rPr>
          <w:rFonts w:ascii="仿宋" w:hAnsi="仿宋" w:eastAsia="仿宋"/>
          <w:sz w:val="28"/>
          <w:szCs w:val="28"/>
        </w:rPr>
        <w:t>4</w:t>
      </w:r>
      <w:r>
        <w:rPr>
          <w:rFonts w:hint="eastAsia" w:ascii="仿宋" w:hAnsi="仿宋" w:eastAsia="仿宋"/>
          <w:sz w:val="28"/>
          <w:szCs w:val="28"/>
        </w:rPr>
        <w:t>项，市厅级项目</w:t>
      </w:r>
      <w:r>
        <w:rPr>
          <w:rFonts w:ascii="仿宋" w:hAnsi="仿宋" w:eastAsia="仿宋"/>
          <w:sz w:val="28"/>
          <w:szCs w:val="28"/>
        </w:rPr>
        <w:t>37</w:t>
      </w:r>
      <w:r>
        <w:rPr>
          <w:rFonts w:hint="eastAsia" w:ascii="仿宋" w:hAnsi="仿宋" w:eastAsia="仿宋"/>
          <w:sz w:val="28"/>
          <w:szCs w:val="28"/>
        </w:rPr>
        <w:t>项，区县级项目4项，院级项目</w:t>
      </w:r>
      <w:r>
        <w:rPr>
          <w:rFonts w:ascii="仿宋" w:hAnsi="仿宋" w:eastAsia="仿宋"/>
          <w:sz w:val="28"/>
          <w:szCs w:val="28"/>
        </w:rPr>
        <w:t>29</w:t>
      </w:r>
      <w:r>
        <w:rPr>
          <w:rFonts w:hint="eastAsia" w:ascii="仿宋" w:hAnsi="仿宋" w:eastAsia="仿宋"/>
          <w:sz w:val="28"/>
          <w:szCs w:val="28"/>
        </w:rPr>
        <w:t>项，横向课题</w:t>
      </w:r>
      <w:r>
        <w:rPr>
          <w:rFonts w:ascii="仿宋" w:hAnsi="仿宋" w:eastAsia="仿宋"/>
          <w:sz w:val="28"/>
          <w:szCs w:val="28"/>
        </w:rPr>
        <w:t>4</w:t>
      </w:r>
      <w:r>
        <w:rPr>
          <w:rFonts w:hint="eastAsia" w:ascii="仿宋" w:hAnsi="仿宋" w:eastAsia="仿宋"/>
          <w:sz w:val="28"/>
          <w:szCs w:val="28"/>
        </w:rPr>
        <w:t>项，合同金额</w:t>
      </w:r>
      <w:r>
        <w:rPr>
          <w:rFonts w:ascii="仿宋" w:hAnsi="仿宋" w:eastAsia="仿宋"/>
          <w:sz w:val="28"/>
          <w:szCs w:val="28"/>
        </w:rPr>
        <w:t>14.5</w:t>
      </w:r>
      <w:r>
        <w:rPr>
          <w:rFonts w:hint="eastAsia" w:ascii="仿宋" w:hAnsi="仿宋" w:eastAsia="仿宋"/>
          <w:sz w:val="28"/>
          <w:szCs w:val="28"/>
        </w:rPr>
        <w:t xml:space="preserve">万。 </w:t>
      </w:r>
      <w:r>
        <w:rPr>
          <w:rFonts w:ascii="仿宋" w:hAnsi="仿宋" w:eastAsia="仿宋"/>
          <w:sz w:val="28"/>
          <w:szCs w:val="28"/>
        </w:rPr>
        <w:t xml:space="preserve">  </w:t>
      </w:r>
    </w:p>
    <w:p>
      <w:pPr>
        <w:ind w:firstLine="560" w:firstLineChars="200"/>
        <w:rPr>
          <w:rFonts w:ascii="仿宋" w:hAnsi="仿宋" w:eastAsia="仿宋"/>
          <w:sz w:val="28"/>
          <w:szCs w:val="28"/>
        </w:rPr>
      </w:pPr>
      <w:r>
        <w:rPr>
          <w:rFonts w:hint="eastAsia" w:ascii="仿宋" w:hAnsi="仿宋" w:eastAsia="仿宋"/>
          <w:sz w:val="28"/>
          <w:szCs w:val="28"/>
        </w:rPr>
        <w:t>本学年启动了二级学院科研平台建设工作，结合各二级学院的专业特点和资源优势，评审通过了《智能网联研究所》、《技术创新工程研究所》、《城乡文创空间设计研究室》等6个科研机构建设立项。围绕服务苏州经济和职业教育改革主线，坚持问题导向和成果导向，紧抓团队建设和平台建设两个重点，完善科研评价机制和学术交流机制，坚持做到专业建设、教学改革和社会服务三结合，推动该校科研工作更上一层楼。为了更好服务于区域经济社会发展，召开同高新区科创局的科技工作对接会，就进一步深化地校合作、加强联系与沟通、推进产学研协同创新及做好科技研发、加强科技成果转化等具体工作，开展座谈交流，形成对策。召开了该校申报立项的江苏高校人文社会科学校外研究基地“苏南非遗文化传承与创新研究基地”验收会并通过验收。作为该校与苏州高新区文化体育和旅游局共建的开放、共享的公共创新研究平台，以“传承与创新相结合”为原则，服务于苏州非遗文化的改革发展。围绕“苏南非遗文化抢救与保护、传承与创新、传播与融合、人才培养”等环节开展研究，建设苏南“非遗”文化网络数据库，推动玉雕、木雕、苏绣等传统工艺数字化的发展，提升苏南非遗文化传播力度；创新苏南非遗人才培养模式，培养非遗“新传人”。召开了该校获批的苏州市无人机重点实验室建设在期项目验收评审会并通过验收。通过这个重要平台建设，为区域经济服务和职业人才培养发挥积极作用，努力奉献更好更多的技术成果（见案例10）。</w:t>
      </w:r>
    </w:p>
    <w:p>
      <w:pPr>
        <w:adjustRightInd w:val="0"/>
        <w:snapToGrid w:val="0"/>
        <w:spacing w:line="360" w:lineRule="auto"/>
        <w:jc w:val="center"/>
        <w:rPr>
          <w:rFonts w:ascii="仿宋_GB2312" w:eastAsia="仿宋_GB2312" w:hAnsiTheme="minorEastAsia"/>
          <w:b/>
          <w:sz w:val="24"/>
          <w:szCs w:val="24"/>
        </w:rPr>
      </w:pPr>
      <w:bookmarkStart w:id="223" w:name="_Hlk124257986"/>
      <w:bookmarkStart w:id="224" w:name="_Toc124170651"/>
      <w:bookmarkStart w:id="225" w:name="_Hlk121993050"/>
      <w:r>
        <w:rPr>
          <w:rFonts w:hint="eastAsia" w:ascii="仿宋_GB2312" w:eastAsia="仿宋_GB2312" w:hAnsiTheme="minorEastAsia"/>
          <w:b/>
          <w:sz w:val="24"/>
          <w:szCs w:val="24"/>
        </w:rPr>
        <w:t xml:space="preserve">表3. </w:t>
      </w:r>
      <w:r>
        <w:rPr>
          <w:rFonts w:ascii="仿宋_GB2312" w:eastAsia="仿宋_GB2312" w:hAnsiTheme="minorEastAsia"/>
          <w:b/>
          <w:sz w:val="24"/>
          <w:szCs w:val="24"/>
        </w:rPr>
        <w:fldChar w:fldCharType="begin"/>
      </w:r>
      <w:r>
        <w:rPr>
          <w:rFonts w:ascii="仿宋_GB2312" w:eastAsia="仿宋_GB2312" w:hAnsiTheme="minorEastAsia"/>
          <w:b/>
          <w:sz w:val="24"/>
          <w:szCs w:val="24"/>
        </w:rPr>
        <w:instrText xml:space="preserve"> </w:instrText>
      </w:r>
      <w:r>
        <w:rPr>
          <w:rFonts w:hint="eastAsia" w:ascii="仿宋_GB2312" w:eastAsia="仿宋_GB2312" w:hAnsiTheme="minorEastAsia"/>
          <w:b/>
          <w:sz w:val="24"/>
          <w:szCs w:val="24"/>
        </w:rPr>
        <w:instrText xml:space="preserve">SEQ 表3. \* ARABIC</w:instrText>
      </w:r>
      <w:r>
        <w:rPr>
          <w:rFonts w:ascii="仿宋_GB2312" w:eastAsia="仿宋_GB2312" w:hAnsiTheme="minorEastAsia"/>
          <w:b/>
          <w:sz w:val="24"/>
          <w:szCs w:val="24"/>
        </w:rPr>
        <w:instrText xml:space="preserve"> </w:instrText>
      </w:r>
      <w:r>
        <w:rPr>
          <w:rFonts w:ascii="仿宋_GB2312" w:eastAsia="仿宋_GB2312" w:hAnsiTheme="minorEastAsia"/>
          <w:b/>
          <w:sz w:val="24"/>
          <w:szCs w:val="24"/>
        </w:rPr>
        <w:fldChar w:fldCharType="separate"/>
      </w:r>
      <w:r>
        <w:rPr>
          <w:rFonts w:ascii="仿宋_GB2312" w:eastAsia="仿宋_GB2312" w:hAnsiTheme="minorEastAsia"/>
          <w:b/>
          <w:sz w:val="24"/>
          <w:szCs w:val="24"/>
        </w:rPr>
        <w:t>2</w:t>
      </w:r>
      <w:r>
        <w:rPr>
          <w:rFonts w:ascii="仿宋_GB2312" w:eastAsia="仿宋_GB2312" w:hAnsiTheme="minorEastAsia"/>
          <w:b/>
          <w:sz w:val="24"/>
          <w:szCs w:val="24"/>
        </w:rPr>
        <w:fldChar w:fldCharType="end"/>
      </w:r>
      <w:bookmarkEnd w:id="223"/>
      <w:r>
        <w:rPr>
          <w:rFonts w:ascii="仿宋_GB2312" w:eastAsia="仿宋_GB2312" w:hAnsiTheme="minorEastAsia"/>
          <w:b/>
          <w:sz w:val="24"/>
          <w:szCs w:val="24"/>
        </w:rPr>
        <w:t xml:space="preserve"> </w:t>
      </w:r>
      <w:r>
        <w:rPr>
          <w:rFonts w:hint="eastAsia" w:ascii="仿宋_GB2312" w:eastAsia="仿宋_GB2312" w:hAnsiTheme="minorEastAsia"/>
          <w:b/>
          <w:sz w:val="24"/>
          <w:szCs w:val="24"/>
        </w:rPr>
        <w:t>落实政策表</w:t>
      </w:r>
      <w:bookmarkEnd w:id="224"/>
    </w:p>
    <w:bookmarkEnd w:id="225"/>
    <w:tbl>
      <w:tblPr>
        <w:tblStyle w:val="62"/>
        <w:tblW w:w="0" w:type="auto"/>
        <w:jc w:val="center"/>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Layout w:type="autofit"/>
        <w:tblCellMar>
          <w:top w:w="0" w:type="dxa"/>
          <w:left w:w="108" w:type="dxa"/>
          <w:bottom w:w="0" w:type="dxa"/>
          <w:right w:w="108" w:type="dxa"/>
        </w:tblCellMar>
      </w:tblPr>
      <w:tblGrid>
        <w:gridCol w:w="698"/>
        <w:gridCol w:w="3576"/>
        <w:gridCol w:w="698"/>
        <w:gridCol w:w="1001"/>
        <w:gridCol w:w="1001"/>
      </w:tblGrid>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tcBorders>
              <w:top w:val="single" w:color="CCE8CF" w:themeColor="background1" w:sz="4" w:space="0"/>
              <w:left w:val="single" w:color="CCE8CF" w:themeColor="background1" w:sz="4" w:space="0"/>
              <w:right w:val="nil"/>
              <w:insideV w:val="nil"/>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序号</w:t>
            </w:r>
          </w:p>
        </w:tc>
        <w:tc>
          <w:tcPr>
            <w:tcW w:w="0" w:type="auto"/>
            <w:tcBorders>
              <w:top w:val="single" w:color="CCE8CF" w:themeColor="background1" w:sz="4" w:space="0"/>
              <w:right w:val="nil"/>
              <w:insideV w:val="nil"/>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指标</w:t>
            </w:r>
          </w:p>
        </w:tc>
        <w:tc>
          <w:tcPr>
            <w:tcW w:w="0" w:type="auto"/>
            <w:tcBorders>
              <w:top w:val="single" w:color="CCE8CF" w:themeColor="background1" w:sz="4" w:space="0"/>
              <w:right w:val="nil"/>
              <w:insideV w:val="nil"/>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单位</w:t>
            </w:r>
          </w:p>
        </w:tc>
        <w:tc>
          <w:tcPr>
            <w:tcW w:w="0" w:type="auto"/>
            <w:tcBorders>
              <w:top w:val="single" w:color="CCE8CF" w:themeColor="background1" w:sz="4" w:space="0"/>
              <w:right w:val="nil"/>
              <w:insideV w:val="nil"/>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2021年</w:t>
            </w:r>
          </w:p>
        </w:tc>
        <w:tc>
          <w:tcPr>
            <w:tcW w:w="0" w:type="auto"/>
            <w:tcBorders>
              <w:top w:val="single" w:color="CCE8CF" w:themeColor="background1" w:sz="4" w:space="0"/>
              <w:right w:val="single" w:color="CCE8CF" w:themeColor="background1" w:sz="4" w:space="0"/>
              <w:insideV w:val="nil"/>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2022年</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1</w:t>
            </w:r>
          </w:p>
        </w:tc>
        <w:tc>
          <w:tcPr>
            <w:tcW w:w="0" w:type="auto"/>
            <w:shd w:val="clear" w:color="auto" w:fill="BDD6EE" w:themeFill="accent5" w:themeFillTint="66"/>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年生均财政拨款水平</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元</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619.81</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812.07</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2</w:t>
            </w:r>
          </w:p>
        </w:tc>
        <w:tc>
          <w:tcPr>
            <w:tcW w:w="0" w:type="auto"/>
            <w:shd w:val="clear" w:color="auto" w:fill="DEEAF6" w:themeFill="accent5" w:themeFillTint="33"/>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年财政专项拨款</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万元</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1</w:t>
            </w:r>
            <w:r>
              <w:rPr>
                <w:rFonts w:ascii="仿宋_GB2312" w:hAnsi="等线" w:eastAsia="仿宋_GB2312" w:cs="宋体"/>
                <w:color w:val="000000"/>
                <w:kern w:val="0"/>
                <w:sz w:val="24"/>
                <w:szCs w:val="24"/>
              </w:rPr>
              <w:t>55.56</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195.10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restart"/>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3</w:t>
            </w:r>
          </w:p>
        </w:tc>
        <w:tc>
          <w:tcPr>
            <w:tcW w:w="0" w:type="auto"/>
            <w:shd w:val="clear" w:color="auto" w:fill="BDD6EE" w:themeFill="accent5" w:themeFillTint="66"/>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教职员工额定编制数</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人</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5</w:t>
            </w:r>
            <w:r>
              <w:rPr>
                <w:rFonts w:ascii="仿宋_GB2312" w:hAnsi="等线" w:eastAsia="仿宋_GB2312" w:cs="宋体"/>
                <w:color w:val="000000"/>
                <w:kern w:val="0"/>
                <w:sz w:val="24"/>
                <w:szCs w:val="24"/>
              </w:rPr>
              <w:t>60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continue"/>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p>
        </w:tc>
        <w:tc>
          <w:tcPr>
            <w:tcW w:w="0" w:type="auto"/>
            <w:shd w:val="clear" w:color="auto" w:fill="DEEAF6" w:themeFill="accent5" w:themeFillTint="33"/>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教职工总数</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人</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357</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511</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continue"/>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p>
        </w:tc>
        <w:tc>
          <w:tcPr>
            <w:tcW w:w="0" w:type="auto"/>
            <w:shd w:val="clear" w:color="auto" w:fill="BDD6EE" w:themeFill="accent5" w:themeFillTint="66"/>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其中：专任教师总数</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人</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253</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478</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4</w:t>
            </w:r>
          </w:p>
        </w:tc>
        <w:tc>
          <w:tcPr>
            <w:tcW w:w="0" w:type="auto"/>
            <w:shd w:val="clear" w:color="auto" w:fill="DEEAF6" w:themeFill="accent5" w:themeFillTint="33"/>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企业提供的校内实践教学设备值</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bookmarkStart w:id="226" w:name="_Hlk121909337"/>
            <w:r>
              <w:rPr>
                <w:rFonts w:hint="eastAsia" w:ascii="仿宋_GB2312" w:hAnsi="等线" w:eastAsia="仿宋_GB2312" w:cs="宋体"/>
                <w:color w:val="000000"/>
                <w:kern w:val="0"/>
                <w:sz w:val="24"/>
                <w:szCs w:val="24"/>
              </w:rPr>
              <w:t>万元</w:t>
            </w:r>
            <w:bookmarkEnd w:id="226"/>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0</w:t>
            </w:r>
            <w:r>
              <w:rPr>
                <w:rFonts w:ascii="仿宋_GB2312" w:hAnsi="等线" w:eastAsia="仿宋_GB2312" w:cs="宋体"/>
                <w:color w:val="000000"/>
                <w:kern w:val="0"/>
                <w:sz w:val="24"/>
                <w:szCs w:val="24"/>
              </w:rPr>
              <w:t>.00</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380.00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restart"/>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5</w:t>
            </w:r>
          </w:p>
        </w:tc>
        <w:tc>
          <w:tcPr>
            <w:tcW w:w="0" w:type="auto"/>
            <w:shd w:val="clear" w:color="auto" w:fill="BDD6EE" w:themeFill="accent5" w:themeFillTint="66"/>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企业兼职教师年课时总量</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课时</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11166</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7247</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continue"/>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p>
        </w:tc>
        <w:tc>
          <w:tcPr>
            <w:tcW w:w="0" w:type="auto"/>
            <w:shd w:val="clear" w:color="auto" w:fill="DEEAF6" w:themeFill="accent5" w:themeFillTint="33"/>
          </w:tcPr>
          <w:p>
            <w:pPr>
              <w:widowControl/>
              <w:rPr>
                <w:rFonts w:ascii="仿宋_GB2312" w:hAnsi="等线" w:eastAsia="仿宋_GB2312" w:cs="宋体"/>
                <w:color w:val="000000"/>
                <w:kern w:val="0"/>
                <w:sz w:val="24"/>
                <w:szCs w:val="24"/>
              </w:rPr>
            </w:pPr>
            <w:bookmarkStart w:id="227" w:name="_Hlk121909490"/>
            <w:r>
              <w:rPr>
                <w:rFonts w:hint="eastAsia" w:ascii="仿宋_GB2312" w:hAnsi="等线" w:eastAsia="仿宋_GB2312" w:cs="宋体"/>
                <w:color w:val="000000"/>
                <w:kern w:val="0"/>
                <w:sz w:val="24"/>
                <w:szCs w:val="24"/>
              </w:rPr>
              <w:t>年支付企业兼职教师课酬</w:t>
            </w:r>
            <w:bookmarkEnd w:id="227"/>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万元</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94.91</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bookmarkStart w:id="228" w:name="_Hlk121909511"/>
            <w:r>
              <w:rPr>
                <w:rFonts w:ascii="仿宋_GB2312" w:hAnsi="等线" w:eastAsia="仿宋_GB2312" w:cs="宋体"/>
                <w:color w:val="000000"/>
                <w:kern w:val="0"/>
                <w:sz w:val="24"/>
                <w:szCs w:val="24"/>
              </w:rPr>
              <w:t>61</w:t>
            </w:r>
            <w:r>
              <w:rPr>
                <w:rFonts w:hint="eastAsia" w:ascii="仿宋_GB2312" w:hAnsi="等线" w:eastAsia="仿宋_GB2312" w:cs="宋体"/>
                <w:color w:val="000000"/>
                <w:kern w:val="0"/>
                <w:sz w:val="24"/>
                <w:szCs w:val="24"/>
              </w:rPr>
              <w:t>.</w:t>
            </w:r>
            <w:bookmarkEnd w:id="228"/>
            <w:r>
              <w:rPr>
                <w:rFonts w:ascii="仿宋_GB2312" w:hAnsi="等线" w:eastAsia="仿宋_GB2312" w:cs="宋体"/>
                <w:color w:val="000000"/>
                <w:kern w:val="0"/>
                <w:sz w:val="24"/>
                <w:szCs w:val="24"/>
              </w:rPr>
              <w:t>60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restart"/>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6</w:t>
            </w:r>
          </w:p>
        </w:tc>
        <w:tc>
          <w:tcPr>
            <w:tcW w:w="0" w:type="auto"/>
            <w:shd w:val="clear" w:color="auto" w:fill="BDD6EE" w:themeFill="accent5" w:themeFillTint="66"/>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年实习专项经费</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万元</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22.53</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16.08</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jc w:val="center"/>
        </w:trPr>
        <w:tc>
          <w:tcPr>
            <w:tcW w:w="0" w:type="auto"/>
            <w:vMerge w:val="continue"/>
            <w:tcBorders>
              <w:left w:val="single" w:color="CCE8CF" w:themeColor="background1" w:sz="4" w:space="0"/>
              <w:bottom w:val="single" w:color="CCE8CF" w:themeColor="background1" w:sz="4" w:space="0"/>
            </w:tcBorders>
            <w:shd w:val="clear" w:color="auto" w:fill="5B9BD5" w:themeFill="accent5"/>
          </w:tcPr>
          <w:p>
            <w:pPr>
              <w:widowControl/>
              <w:jc w:val="left"/>
              <w:rPr>
                <w:rFonts w:ascii="Times New Roman" w:hAnsi="Times New Roman" w:eastAsia="等线" w:cs="Times New Roman"/>
                <w:b w:val="0"/>
                <w:bCs w:val="0"/>
                <w:color w:val="000000"/>
                <w:kern w:val="0"/>
                <w:sz w:val="24"/>
                <w:szCs w:val="24"/>
              </w:rPr>
            </w:pPr>
          </w:p>
        </w:tc>
        <w:tc>
          <w:tcPr>
            <w:tcW w:w="0" w:type="auto"/>
            <w:shd w:val="clear" w:color="auto" w:fill="DEEAF6" w:themeFill="accent5" w:themeFillTint="33"/>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其中：年实习责任保险经费</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万元</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4.19</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ascii="仿宋_GB2312" w:hAnsi="等线" w:eastAsia="仿宋_GB2312" w:cs="宋体"/>
                <w:color w:val="000000"/>
                <w:kern w:val="0"/>
                <w:sz w:val="24"/>
                <w:szCs w:val="24"/>
              </w:rPr>
              <w:t>3.57</w:t>
            </w:r>
          </w:p>
        </w:tc>
      </w:tr>
    </w:tbl>
    <w:p>
      <w:pPr>
        <w:adjustRightInd w:val="0"/>
        <w:snapToGrid w:val="0"/>
        <w:spacing w:line="360" w:lineRule="auto"/>
        <w:ind w:firstLine="560" w:firstLineChars="200"/>
        <w:rPr>
          <w:rFonts w:ascii="仿宋" w:hAnsi="仿宋" w:eastAsia="仿宋"/>
          <w:sz w:val="28"/>
          <w:szCs w:val="28"/>
        </w:rPr>
      </w:pPr>
    </w:p>
    <w:p>
      <w:pPr>
        <w:adjustRightInd w:val="0"/>
        <w:snapToGrid w:val="0"/>
        <w:spacing w:line="360" w:lineRule="auto"/>
        <w:ind w:firstLine="482" w:firstLineChars="200"/>
        <w:outlineLvl w:val="2"/>
        <w:rPr>
          <w:rFonts w:ascii="仿宋_GB2312" w:hAnsi="宋体" w:eastAsia="仿宋_GB2312"/>
          <w:b/>
          <w:color w:val="000000" w:themeColor="text1"/>
          <w:sz w:val="24"/>
          <w:szCs w:val="24"/>
        </w:rPr>
      </w:pPr>
      <w:bookmarkStart w:id="229" w:name="_Toc124087900"/>
      <w:r>
        <w:rPr>
          <w:rFonts w:hint="eastAsia" w:ascii="仿宋_GB2312" w:hAnsi="宋体" w:eastAsia="仿宋_GB2312"/>
          <w:b/>
          <w:color w:val="000000" w:themeColor="text1"/>
          <w:sz w:val="24"/>
          <w:szCs w:val="24"/>
        </w:rPr>
        <w:t>案例</w:t>
      </w:r>
      <w:r>
        <w:rPr>
          <w:rFonts w:ascii="仿宋_GB2312" w:hAnsi="宋体" w:eastAsia="仿宋_GB2312"/>
          <w:b/>
          <w:color w:val="000000" w:themeColor="text1"/>
          <w:sz w:val="24"/>
          <w:szCs w:val="24"/>
        </w:rPr>
        <w:t>9</w:t>
      </w:r>
      <w:r>
        <w:rPr>
          <w:rFonts w:hint="eastAsia" w:ascii="仿宋_GB2312" w:hAnsi="宋体" w:eastAsia="仿宋_GB2312"/>
          <w:b/>
          <w:color w:val="000000" w:themeColor="text1"/>
          <w:sz w:val="24"/>
          <w:szCs w:val="24"/>
        </w:rPr>
        <w:t>：</w:t>
      </w:r>
      <w:bookmarkStart w:id="230" w:name="_Hlk118984665"/>
      <w:bookmarkStart w:id="231" w:name="_Toc119932714"/>
      <w:r>
        <w:rPr>
          <w:rFonts w:hint="eastAsia" w:ascii="仿宋_GB2312" w:hAnsi="宋体" w:eastAsia="仿宋_GB2312"/>
          <w:b/>
          <w:color w:val="000000" w:themeColor="text1"/>
          <w:sz w:val="24"/>
          <w:szCs w:val="24"/>
        </w:rPr>
        <w:t>【民办高职院的无人机技术重点实验室建设】</w:t>
      </w:r>
      <w:bookmarkEnd w:id="229"/>
      <w:bookmarkEnd w:id="230"/>
      <w:bookmarkEnd w:id="231"/>
    </w:p>
    <w:p>
      <w:pPr>
        <w:widowControl/>
        <w:spacing w:line="360" w:lineRule="auto"/>
        <w:ind w:firstLine="480" w:firstLineChars="200"/>
        <w:rPr>
          <w:rFonts w:ascii="楷体_GB2312" w:hAnsi="宋体" w:eastAsia="楷体_GB2312" w:cs="Times New Roman"/>
          <w:color w:val="000000" w:themeColor="text1"/>
          <w:kern w:val="0"/>
          <w:sz w:val="24"/>
          <w:szCs w:val="24"/>
        </w:rPr>
      </w:pPr>
      <w:r>
        <w:rPr>
          <w:rFonts w:hint="eastAsia" w:ascii="楷体_GB2312" w:hAnsi="宋体" w:eastAsia="楷体_GB2312" w:cs="Times New Roman"/>
          <w:color w:val="000000" w:themeColor="text1"/>
          <w:kern w:val="0"/>
          <w:sz w:val="24"/>
          <w:szCs w:val="24"/>
        </w:rPr>
        <w:t>科技工作从来都是民营高职院校的弱项，苏州高博软件技术职业学院在特聘教授的带动下，积极拓展科技合作，</w:t>
      </w:r>
      <w:r>
        <w:rPr>
          <w:rFonts w:ascii="楷体_GB2312" w:hAnsi="宋体" w:eastAsia="楷体_GB2312" w:cs="Times New Roman"/>
          <w:color w:val="000000" w:themeColor="text1"/>
          <w:kern w:val="0"/>
          <w:sz w:val="24"/>
          <w:szCs w:val="24"/>
        </w:rPr>
        <w:t>2022</w:t>
      </w:r>
      <w:r>
        <w:rPr>
          <w:rFonts w:hint="eastAsia" w:ascii="楷体_GB2312" w:hAnsi="宋体" w:eastAsia="楷体_GB2312" w:cs="Times New Roman"/>
          <w:color w:val="000000" w:themeColor="text1"/>
          <w:kern w:val="0"/>
          <w:sz w:val="24"/>
          <w:szCs w:val="24"/>
        </w:rPr>
        <w:t>年</w:t>
      </w:r>
      <w:r>
        <w:rPr>
          <w:rFonts w:ascii="楷体_GB2312" w:hAnsi="宋体" w:eastAsia="楷体_GB2312" w:cs="Times New Roman"/>
          <w:color w:val="000000" w:themeColor="text1"/>
          <w:kern w:val="0"/>
          <w:sz w:val="24"/>
          <w:szCs w:val="24"/>
        </w:rPr>
        <w:t>6月30日，</w:t>
      </w:r>
      <w:r>
        <w:rPr>
          <w:rFonts w:hint="eastAsia" w:ascii="楷体_GB2312" w:hAnsi="宋体" w:eastAsia="楷体_GB2312" w:cs="Times New Roman"/>
          <w:color w:val="000000" w:themeColor="text1"/>
          <w:kern w:val="0"/>
          <w:sz w:val="24"/>
          <w:szCs w:val="24"/>
        </w:rPr>
        <w:t>该校的苏州市无人机技术重点实验室项目通过验收。此项目自</w:t>
      </w:r>
      <w:r>
        <w:rPr>
          <w:rFonts w:ascii="楷体_GB2312" w:hAnsi="宋体" w:eastAsia="楷体_GB2312" w:cs="Times New Roman"/>
          <w:color w:val="000000" w:themeColor="text1"/>
          <w:kern w:val="0"/>
          <w:sz w:val="24"/>
          <w:szCs w:val="24"/>
        </w:rPr>
        <w:t>2018年7月立项获批以来，以新型飞行方式无人机为主要研究方向，针对目前低雷诺数飞行的各类小型多旋翼和扑翼飞行器中存在的气动效率较低、飞行机动性和灵活性不够等瓶颈问题，提出并设计了多种显著减小飞行器飞行阻力、提升气动效率、同时提供升力和推力，不同于传统多旋翼飞行和扑翼飞行的往复式、摆动式和多种叶片控制方法的轮式动翼飞行器。目前已有</w:t>
      </w:r>
      <w:r>
        <w:rPr>
          <w:rFonts w:hint="eastAsia" w:ascii="楷体_GB2312" w:hAnsi="宋体" w:eastAsia="楷体_GB2312" w:cs="Times New Roman"/>
          <w:color w:val="000000" w:themeColor="text1"/>
          <w:kern w:val="0"/>
          <w:sz w:val="24"/>
          <w:szCs w:val="24"/>
        </w:rPr>
        <w:t>成果（见图</w:t>
      </w:r>
      <w:r>
        <w:rPr>
          <w:rFonts w:ascii="楷体_GB2312" w:hAnsi="宋体" w:eastAsia="楷体_GB2312" w:cs="Times New Roman"/>
          <w:color w:val="000000" w:themeColor="text1"/>
          <w:kern w:val="0"/>
          <w:sz w:val="24"/>
          <w:szCs w:val="24"/>
        </w:rPr>
        <w:t>3.2</w:t>
      </w:r>
      <w:r>
        <w:rPr>
          <w:rFonts w:hint="eastAsia" w:ascii="楷体_GB2312" w:hAnsi="宋体" w:eastAsia="楷体_GB2312" w:cs="Times New Roman"/>
          <w:color w:val="000000" w:themeColor="text1"/>
          <w:kern w:val="0"/>
          <w:sz w:val="24"/>
          <w:szCs w:val="24"/>
        </w:rPr>
        <w:t>）：</w:t>
      </w:r>
      <w:r>
        <w:rPr>
          <w:rFonts w:ascii="楷体_GB2312" w:hAnsi="宋体" w:eastAsia="楷体_GB2312" w:cs="Times New Roman"/>
          <w:color w:val="000000" w:themeColor="text1"/>
          <w:kern w:val="0"/>
          <w:sz w:val="24"/>
          <w:szCs w:val="24"/>
        </w:rPr>
        <w:t>17项发明专利获得国家知识产权局授权，新申请了22项新型无人机飞行器发明专利已经获得国家知识产权局受理。发表论文35篇，其</w:t>
      </w:r>
      <w:r>
        <w:rPr>
          <w:rFonts w:hint="eastAsia" w:ascii="楷体_GB2312" w:hAnsi="宋体" w:eastAsia="楷体_GB2312" w:cs="Times New Roman"/>
          <w:color w:val="000000" w:themeColor="text1"/>
          <w:kern w:val="0"/>
          <w:sz w:val="24"/>
          <w:szCs w:val="24"/>
        </w:rPr>
        <w:t>中</w:t>
      </w:r>
      <w:r>
        <w:rPr>
          <w:rFonts w:ascii="楷体_GB2312" w:hAnsi="宋体" w:eastAsia="楷体_GB2312" w:cs="Times New Roman"/>
          <w:color w:val="000000" w:themeColor="text1"/>
          <w:kern w:val="0"/>
          <w:sz w:val="24"/>
          <w:szCs w:val="24"/>
        </w:rPr>
        <w:t>SCI收录6篇，EI收7篇，核心期刊12篇。即将出版专著1部，已获中央军委装备发展部国防科技图书出版基金资助。项目研究期间，项目组成员获国家自然科学基金面上项目1项，江苏省自然科学青年基金1项，军科委项目2项，苏州市项目2项，其它横向项目10项。</w:t>
      </w:r>
      <w:r>
        <w:rPr>
          <w:rFonts w:hint="eastAsia" w:ascii="楷体_GB2312" w:hAnsi="宋体" w:eastAsia="楷体_GB2312" w:cs="Times New Roman"/>
          <w:color w:val="000000" w:themeColor="text1"/>
          <w:kern w:val="0"/>
          <w:sz w:val="24"/>
          <w:szCs w:val="24"/>
        </w:rPr>
        <w:t>建设了实验场包括无人机综合实训室、无人机模拟飞行实训室</w:t>
      </w:r>
      <w:r>
        <w:rPr>
          <w:rFonts w:ascii="楷体_GB2312" w:hAnsi="宋体" w:eastAsia="楷体_GB2312" w:cs="Times New Roman"/>
          <w:color w:val="000000" w:themeColor="text1"/>
          <w:kern w:val="0"/>
          <w:sz w:val="24"/>
          <w:szCs w:val="24"/>
        </w:rPr>
        <w:t>、无人机飞控实训室等。</w:t>
      </w:r>
      <w:r>
        <w:rPr>
          <w:rFonts w:hint="eastAsia" w:ascii="楷体_GB2312" w:hAnsi="宋体" w:eastAsia="楷体_GB2312" w:cs="Times New Roman"/>
          <w:color w:val="000000" w:themeColor="text1"/>
          <w:kern w:val="0"/>
          <w:sz w:val="24"/>
          <w:szCs w:val="24"/>
        </w:rPr>
        <w:t>立足于重点实验室，该校机电学院通过与苏州工业园区通易机械有限公司校企合作共建智能制造生产实训基地</w:t>
      </w:r>
      <w:r>
        <w:rPr>
          <w:rFonts w:ascii="楷体_GB2312" w:hAnsi="宋体" w:eastAsia="楷体_GB2312" w:cs="Times New Roman"/>
          <w:color w:val="000000" w:themeColor="text1"/>
          <w:kern w:val="0"/>
          <w:sz w:val="24"/>
          <w:szCs w:val="24"/>
        </w:rPr>
        <w:t>,引进企业数控机床、加工中心和普通机床以解决实训设备短缺的问题，为学校提供了数控机床、加工中心和普通机床和部分学生的实训实习以及部分专业教师培训。</w:t>
      </w:r>
    </w:p>
    <w:p>
      <w:pPr>
        <w:jc w:val="center"/>
        <w:rPr>
          <w:rFonts w:ascii="仿宋_GB2312" w:eastAsia="仿宋_GB2312"/>
          <w:b/>
          <w:sz w:val="24"/>
          <w:szCs w:val="24"/>
        </w:rPr>
      </w:pPr>
      <w:r>
        <w:drawing>
          <wp:inline distT="0" distB="0" distL="0" distR="0">
            <wp:extent cx="5276850" cy="1995805"/>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5300088" cy="2005214"/>
                    </a:xfrm>
                    <a:prstGeom prst="rect">
                      <a:avLst/>
                    </a:prstGeom>
                    <a:noFill/>
                    <a:ln>
                      <a:noFill/>
                    </a:ln>
                  </pic:spPr>
                </pic:pic>
              </a:graphicData>
            </a:graphic>
          </wp:inline>
        </w:drawing>
      </w:r>
    </w:p>
    <w:p>
      <w:pPr>
        <w:ind w:firstLine="964" w:firstLineChars="400"/>
        <w:jc w:val="center"/>
        <w:rPr>
          <w:rFonts w:ascii="仿宋_GB2312" w:eastAsia="仿宋_GB2312"/>
          <w:b/>
          <w:sz w:val="24"/>
          <w:szCs w:val="24"/>
        </w:rPr>
      </w:pPr>
      <w:bookmarkStart w:id="232" w:name="_Toc124169697"/>
      <w:bookmarkStart w:id="233" w:name="_Hlk121993074"/>
      <w:r>
        <w:rPr>
          <w:rFonts w:hint="eastAsia" w:ascii="仿宋_GB2312" w:eastAsia="仿宋_GB2312"/>
          <w:b/>
          <w:sz w:val="24"/>
          <w:szCs w:val="24"/>
        </w:rPr>
        <w:t xml:space="preserve">图3. </w:t>
      </w:r>
      <w:r>
        <w:rPr>
          <w:rFonts w:ascii="仿宋_GB2312" w:eastAsia="仿宋_GB2312"/>
          <w:b/>
          <w:sz w:val="24"/>
          <w:szCs w:val="24"/>
        </w:rPr>
        <w:fldChar w:fldCharType="begin"/>
      </w:r>
      <w:r>
        <w:rPr>
          <w:rFonts w:ascii="仿宋_GB2312" w:eastAsia="仿宋_GB2312"/>
          <w:b/>
          <w:sz w:val="24"/>
          <w:szCs w:val="24"/>
        </w:rPr>
        <w:instrText xml:space="preserve"> </w:instrText>
      </w:r>
      <w:r>
        <w:rPr>
          <w:rFonts w:hint="eastAsia" w:ascii="仿宋_GB2312" w:eastAsia="仿宋_GB2312"/>
          <w:b/>
          <w:sz w:val="24"/>
          <w:szCs w:val="24"/>
        </w:rPr>
        <w:instrText xml:space="preserve">SEQ 图3. \* ARABIC</w:instrText>
      </w:r>
      <w:r>
        <w:rPr>
          <w:rFonts w:ascii="仿宋_GB2312" w:eastAsia="仿宋_GB2312"/>
          <w:b/>
          <w:sz w:val="24"/>
          <w:szCs w:val="24"/>
        </w:rPr>
        <w:instrText xml:space="preserve"> </w:instrText>
      </w:r>
      <w:r>
        <w:rPr>
          <w:rFonts w:ascii="仿宋_GB2312" w:eastAsia="仿宋_GB2312"/>
          <w:b/>
          <w:sz w:val="24"/>
          <w:szCs w:val="24"/>
        </w:rPr>
        <w:fldChar w:fldCharType="separate"/>
      </w:r>
      <w:r>
        <w:rPr>
          <w:rFonts w:ascii="仿宋_GB2312" w:eastAsia="仿宋_GB2312"/>
          <w:b/>
          <w:sz w:val="24"/>
          <w:szCs w:val="24"/>
        </w:rPr>
        <w:t>2</w:t>
      </w:r>
      <w:r>
        <w:rPr>
          <w:rFonts w:ascii="仿宋_GB2312" w:eastAsia="仿宋_GB2312"/>
          <w:b/>
          <w:sz w:val="24"/>
          <w:szCs w:val="24"/>
        </w:rPr>
        <w:fldChar w:fldCharType="end"/>
      </w:r>
      <w:r>
        <w:rPr>
          <w:rFonts w:ascii="仿宋_GB2312" w:eastAsia="仿宋_GB2312"/>
          <w:b/>
          <w:sz w:val="24"/>
          <w:szCs w:val="24"/>
        </w:rPr>
        <w:t xml:space="preserve"> </w:t>
      </w:r>
      <w:r>
        <w:rPr>
          <w:rFonts w:hint="eastAsia" w:ascii="仿宋_GB2312" w:eastAsia="仿宋_GB2312"/>
          <w:b/>
          <w:sz w:val="24"/>
          <w:szCs w:val="24"/>
        </w:rPr>
        <w:t>无人机重点实验室部分成果展示</w:t>
      </w:r>
      <w:bookmarkEnd w:id="232"/>
    </w:p>
    <w:p>
      <w:pPr>
        <w:ind w:firstLine="964" w:firstLineChars="400"/>
        <w:jc w:val="center"/>
        <w:rPr>
          <w:rFonts w:ascii="仿宋_GB2312" w:eastAsia="仿宋_GB2312"/>
          <w:b/>
          <w:sz w:val="24"/>
          <w:szCs w:val="24"/>
        </w:rPr>
      </w:pPr>
    </w:p>
    <w:bookmarkEnd w:id="233"/>
    <w:p>
      <w:pPr>
        <w:ind w:firstLine="840" w:firstLineChars="400"/>
        <w:jc w:val="center"/>
      </w:pPr>
    </w:p>
    <w:p>
      <w:pPr>
        <w:pStyle w:val="3"/>
        <w:spacing w:before="0" w:after="0" w:line="360" w:lineRule="auto"/>
        <w:ind w:firstLine="562" w:firstLineChars="200"/>
        <w:rPr>
          <w:rFonts w:ascii="仿宋_GB2312" w:eastAsia="仿宋_GB2312" w:hAnsiTheme="minorEastAsia"/>
          <w:sz w:val="28"/>
          <w:szCs w:val="28"/>
        </w:rPr>
      </w:pPr>
      <w:bookmarkStart w:id="234" w:name="_Toc124087901"/>
      <w:r>
        <w:rPr>
          <w:rFonts w:hint="eastAsia" w:ascii="仿宋_GB2312" w:eastAsia="仿宋_GB2312" w:hAnsiTheme="minorEastAsia"/>
          <w:sz w:val="28"/>
          <w:szCs w:val="28"/>
        </w:rPr>
        <w:t>3</w:t>
      </w:r>
      <w:r>
        <w:rPr>
          <w:rFonts w:ascii="仿宋_GB2312" w:eastAsia="仿宋_GB2312" w:hAnsiTheme="minorEastAsia"/>
          <w:sz w:val="28"/>
          <w:szCs w:val="28"/>
        </w:rPr>
        <w:t>.3</w:t>
      </w:r>
      <w:r>
        <w:rPr>
          <w:rFonts w:hint="eastAsia" w:ascii="仿宋_GB2312" w:eastAsia="仿宋_GB2312" w:hAnsiTheme="minorEastAsia"/>
          <w:sz w:val="28"/>
          <w:szCs w:val="28"/>
        </w:rPr>
        <w:t>校企合作</w:t>
      </w:r>
      <w:bookmarkEnd w:id="234"/>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学校坚持校企合作、校政合作，产学研结合。本学年</w:t>
      </w:r>
      <w:r>
        <w:rPr>
          <w:rFonts w:ascii="仿宋" w:hAnsi="仿宋" w:eastAsia="仿宋"/>
          <w:sz w:val="28"/>
          <w:szCs w:val="28"/>
        </w:rPr>
        <w:t>与中思智数教育科技有限公司</w:t>
      </w:r>
      <w:r>
        <w:rPr>
          <w:rFonts w:hint="eastAsia" w:ascii="仿宋" w:hAnsi="仿宋" w:eastAsia="仿宋"/>
          <w:sz w:val="28"/>
          <w:szCs w:val="28"/>
        </w:rPr>
        <w:t>建立合作关系</w:t>
      </w:r>
      <w:r>
        <w:rPr>
          <w:rFonts w:ascii="仿宋" w:hAnsi="仿宋" w:eastAsia="仿宋"/>
          <w:sz w:val="28"/>
          <w:szCs w:val="28"/>
        </w:rPr>
        <w:t>，就“电子商务”、“市场营销”专业的顶岗实习、实训基地建设等事宜达成合作</w:t>
      </w:r>
      <w:r>
        <w:rPr>
          <w:rFonts w:hint="eastAsia" w:ascii="仿宋" w:hAnsi="仿宋" w:eastAsia="仿宋"/>
          <w:sz w:val="28"/>
          <w:szCs w:val="28"/>
        </w:rPr>
        <w:t>，</w:t>
      </w:r>
      <w:r>
        <w:rPr>
          <w:rFonts w:ascii="仿宋" w:hAnsi="仿宋" w:eastAsia="仿宋"/>
          <w:sz w:val="28"/>
          <w:szCs w:val="28"/>
        </w:rPr>
        <w:t>企业出资40万建设 “高博学院品牌直播间”。</w:t>
      </w:r>
      <w:r>
        <w:rPr>
          <w:rFonts w:hint="eastAsia" w:ascii="仿宋" w:hAnsi="仿宋" w:eastAsia="仿宋"/>
          <w:sz w:val="28"/>
          <w:szCs w:val="28"/>
        </w:rPr>
        <w:t>与</w:t>
      </w:r>
      <w:r>
        <w:rPr>
          <w:rFonts w:ascii="仿宋" w:hAnsi="仿宋" w:eastAsia="仿宋"/>
          <w:sz w:val="28"/>
          <w:szCs w:val="28"/>
        </w:rPr>
        <w:t>苏州固锝电子股份有限公司</w:t>
      </w:r>
      <w:r>
        <w:rPr>
          <w:rFonts w:hint="eastAsia" w:ascii="仿宋" w:hAnsi="仿宋" w:eastAsia="仿宋"/>
          <w:sz w:val="28"/>
          <w:szCs w:val="28"/>
        </w:rPr>
        <w:t>建立合作关系，</w:t>
      </w:r>
      <w:r>
        <w:rPr>
          <w:rFonts w:ascii="仿宋" w:hAnsi="仿宋" w:eastAsia="仿宋"/>
          <w:sz w:val="28"/>
          <w:szCs w:val="28"/>
        </w:rPr>
        <w:t>达成了开展“定向培养”、“冠名班”合作培养意向，推进了校企之间的深入合作</w:t>
      </w:r>
      <w:r>
        <w:rPr>
          <w:rFonts w:hint="eastAsia" w:ascii="仿宋" w:hAnsi="仿宋" w:eastAsia="仿宋"/>
          <w:sz w:val="28"/>
          <w:szCs w:val="28"/>
        </w:rPr>
        <w:t>，签订了合作建设“企业学院”协议，就产业学院建设、学生实习周期、课程安排、实训设备投入等细节形成意向。与苏州中科天启遥感科技有限公司开展校企合作（见图</w:t>
      </w:r>
      <w:r>
        <w:rPr>
          <w:rFonts w:ascii="仿宋" w:hAnsi="仿宋" w:eastAsia="仿宋"/>
          <w:sz w:val="28"/>
          <w:szCs w:val="28"/>
        </w:rPr>
        <w:t>3.3</w:t>
      </w:r>
      <w:r>
        <w:rPr>
          <w:rFonts w:hint="eastAsia" w:ascii="仿宋" w:hAnsi="仿宋" w:eastAsia="仿宋"/>
          <w:sz w:val="28"/>
          <w:szCs w:val="28"/>
        </w:rPr>
        <w:t>），推动教学和实践深度融合，携手打造区域合作典范，共建“中科天启定向班”和“教学实践基地”，为软件和信息技术产业发展贡献力量。特别是疫情以来，患难时刻见真情，合作企业纷纷伸出援助之手，向该校表达关心和支持。据不完全统计，苏州纽约纽约婚纱摄影集团、苏州高新商旅发展有限公司、江苏苏恒教育科技（集团）有限公司、苏州筑成建筑设计院有限责任公司、苏州轩新建设工程有限公司、软通动力技术服务无锡有限公司、苏州新城市机动车驾驶员服务有限公司等合作企业捐赠的医用口罩</w:t>
      </w:r>
      <w:r>
        <w:rPr>
          <w:rFonts w:ascii="仿宋" w:hAnsi="仿宋" w:eastAsia="仿宋"/>
          <w:sz w:val="28"/>
          <w:szCs w:val="28"/>
        </w:rPr>
        <w:t>12万只、医用防护服450套、消毒液50箱、防疫备用金2万元。</w:t>
      </w:r>
    </w:p>
    <w:p>
      <w:pPr>
        <w:adjustRightInd w:val="0"/>
        <w:snapToGrid w:val="0"/>
        <w:spacing w:line="360" w:lineRule="auto"/>
        <w:ind w:firstLine="420" w:firstLineChars="200"/>
        <w:jc w:val="center"/>
        <w:rPr>
          <w:rFonts w:ascii="仿宋" w:hAnsi="仿宋" w:eastAsia="仿宋"/>
          <w:sz w:val="28"/>
          <w:szCs w:val="28"/>
        </w:rPr>
      </w:pPr>
      <w:r>
        <w:drawing>
          <wp:inline distT="0" distB="0" distL="0" distR="0">
            <wp:extent cx="4193540" cy="271970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40" cstate="print">
                      <a:extLst>
                        <a:ext uri="{28A0092B-C50C-407E-A947-70E740481C1C}">
                          <a14:useLocalDpi xmlns:a14="http://schemas.microsoft.com/office/drawing/2010/main" val="0"/>
                        </a:ext>
                      </a:extLst>
                    </a:blip>
                    <a:srcRect t="13516"/>
                    <a:stretch>
                      <a:fillRect/>
                    </a:stretch>
                  </pic:blipFill>
                  <pic:spPr>
                    <a:xfrm>
                      <a:off x="0" y="0"/>
                      <a:ext cx="4217897" cy="2735758"/>
                    </a:xfrm>
                    <a:prstGeom prst="rect">
                      <a:avLst/>
                    </a:prstGeom>
                    <a:noFill/>
                    <a:ln>
                      <a:noFill/>
                    </a:ln>
                  </pic:spPr>
                </pic:pic>
              </a:graphicData>
            </a:graphic>
          </wp:inline>
        </w:drawing>
      </w:r>
    </w:p>
    <w:p>
      <w:pPr>
        <w:ind w:firstLine="964" w:firstLineChars="400"/>
        <w:jc w:val="center"/>
        <w:rPr>
          <w:rFonts w:ascii="仿宋_GB2312" w:eastAsia="仿宋_GB2312"/>
          <w:b/>
          <w:sz w:val="24"/>
          <w:szCs w:val="24"/>
        </w:rPr>
      </w:pPr>
      <w:bookmarkStart w:id="235" w:name="_Toc124169698"/>
      <w:bookmarkStart w:id="236" w:name="_Hlk121993103"/>
      <w:r>
        <w:rPr>
          <w:rFonts w:hint="eastAsia" w:ascii="仿宋_GB2312" w:eastAsia="仿宋_GB2312"/>
          <w:b/>
          <w:sz w:val="24"/>
          <w:szCs w:val="24"/>
        </w:rPr>
        <w:t xml:space="preserve">图3. </w:t>
      </w:r>
      <w:r>
        <w:rPr>
          <w:rFonts w:ascii="仿宋_GB2312" w:eastAsia="仿宋_GB2312"/>
          <w:b/>
          <w:sz w:val="24"/>
          <w:szCs w:val="24"/>
        </w:rPr>
        <w:fldChar w:fldCharType="begin"/>
      </w:r>
      <w:r>
        <w:rPr>
          <w:rFonts w:ascii="仿宋_GB2312" w:eastAsia="仿宋_GB2312"/>
          <w:b/>
          <w:sz w:val="24"/>
          <w:szCs w:val="24"/>
        </w:rPr>
        <w:instrText xml:space="preserve"> </w:instrText>
      </w:r>
      <w:r>
        <w:rPr>
          <w:rFonts w:hint="eastAsia" w:ascii="仿宋_GB2312" w:eastAsia="仿宋_GB2312"/>
          <w:b/>
          <w:sz w:val="24"/>
          <w:szCs w:val="24"/>
        </w:rPr>
        <w:instrText xml:space="preserve">SEQ 图3. \* ARABIC</w:instrText>
      </w:r>
      <w:r>
        <w:rPr>
          <w:rFonts w:ascii="仿宋_GB2312" w:eastAsia="仿宋_GB2312"/>
          <w:b/>
          <w:sz w:val="24"/>
          <w:szCs w:val="24"/>
        </w:rPr>
        <w:instrText xml:space="preserve"> </w:instrText>
      </w:r>
      <w:r>
        <w:rPr>
          <w:rFonts w:ascii="仿宋_GB2312" w:eastAsia="仿宋_GB2312"/>
          <w:b/>
          <w:sz w:val="24"/>
          <w:szCs w:val="24"/>
        </w:rPr>
        <w:fldChar w:fldCharType="separate"/>
      </w:r>
      <w:r>
        <w:rPr>
          <w:rFonts w:ascii="仿宋_GB2312" w:eastAsia="仿宋_GB2312"/>
          <w:b/>
          <w:sz w:val="24"/>
          <w:szCs w:val="24"/>
        </w:rPr>
        <w:t>3</w:t>
      </w:r>
      <w:r>
        <w:rPr>
          <w:rFonts w:ascii="仿宋_GB2312" w:eastAsia="仿宋_GB2312"/>
          <w:b/>
          <w:sz w:val="24"/>
          <w:szCs w:val="24"/>
        </w:rPr>
        <w:fldChar w:fldCharType="end"/>
      </w:r>
      <w:r>
        <w:rPr>
          <w:rFonts w:ascii="仿宋_GB2312" w:eastAsia="仿宋_GB2312"/>
          <w:b/>
          <w:sz w:val="24"/>
          <w:szCs w:val="24"/>
        </w:rPr>
        <w:t xml:space="preserve"> </w:t>
      </w:r>
      <w:r>
        <w:rPr>
          <w:rFonts w:hint="eastAsia" w:ascii="仿宋_GB2312" w:eastAsia="仿宋_GB2312"/>
          <w:b/>
          <w:sz w:val="24"/>
          <w:szCs w:val="24"/>
        </w:rPr>
        <w:t>中科天启定向班启动揭牌</w:t>
      </w:r>
      <w:bookmarkEnd w:id="235"/>
    </w:p>
    <w:p>
      <w:pPr>
        <w:ind w:firstLine="964" w:firstLineChars="400"/>
        <w:jc w:val="center"/>
        <w:rPr>
          <w:rFonts w:ascii="仿宋_GB2312" w:eastAsia="仿宋_GB2312"/>
          <w:b/>
          <w:sz w:val="24"/>
          <w:szCs w:val="24"/>
        </w:rPr>
      </w:pPr>
    </w:p>
    <w:bookmarkEnd w:id="236"/>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校企合作的不断深入也促进了校内实训基地建设，2</w:t>
      </w:r>
      <w:r>
        <w:rPr>
          <w:rFonts w:ascii="仿宋" w:hAnsi="仿宋" w:eastAsia="仿宋"/>
          <w:sz w:val="28"/>
          <w:szCs w:val="28"/>
        </w:rPr>
        <w:t>021</w:t>
      </w:r>
      <w:r>
        <w:rPr>
          <w:rFonts w:hint="eastAsia" w:ascii="仿宋" w:hAnsi="仿宋" w:eastAsia="仿宋"/>
          <w:sz w:val="28"/>
          <w:szCs w:val="28"/>
        </w:rPr>
        <w:t>年，校企共建“复兴号”校内实训基地（价值3</w:t>
      </w:r>
      <w:r>
        <w:rPr>
          <w:rFonts w:ascii="仿宋" w:hAnsi="仿宋" w:eastAsia="仿宋"/>
          <w:sz w:val="28"/>
          <w:szCs w:val="28"/>
        </w:rPr>
        <w:t>00</w:t>
      </w:r>
      <w:r>
        <w:rPr>
          <w:rFonts w:hint="eastAsia" w:ascii="仿宋" w:hAnsi="仿宋" w:eastAsia="仿宋"/>
          <w:sz w:val="28"/>
          <w:szCs w:val="28"/>
        </w:rPr>
        <w:t>万）和“高博学院品牌直播间”实训室（价值3</w:t>
      </w:r>
      <w:r>
        <w:rPr>
          <w:rFonts w:ascii="仿宋" w:hAnsi="仿宋" w:eastAsia="仿宋"/>
          <w:sz w:val="28"/>
          <w:szCs w:val="28"/>
        </w:rPr>
        <w:t>0</w:t>
      </w:r>
      <w:r>
        <w:rPr>
          <w:rFonts w:hint="eastAsia" w:ascii="仿宋" w:hAnsi="仿宋" w:eastAsia="仿宋"/>
          <w:sz w:val="28"/>
          <w:szCs w:val="28"/>
        </w:rPr>
        <w:t>万）、2022年，校企共建华为开发者创新中心（价值300万左右）。</w:t>
      </w:r>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通过校企合作的持续拓展与深入，该校已逐步打造并形成“政校企医”协同、“产教融合”的协同育人实践平台，合作模式由原来的企业冠名班，逐步发展成为合作办专业，到现在的共建企业学院（见案例10），目前建成“亨通企业学院”、“纽约/纽约企业学院”、“飞马良子企业学院”、“芯才科技产业学院”、“固锝企业学院”等，与华为技术有限公司合作成立“华为开发者创新中心”；建设中科天启标注定向班、德创视觉定向班等20多个定向班，168个校外实训基地，充分满足学生实习实训需求。也在企业全程参与该校合作办学与合作育人开展新的探索实践，为提升该校职业技能专业人才培养质量助力。</w:t>
      </w:r>
    </w:p>
    <w:p>
      <w:pPr>
        <w:pStyle w:val="39"/>
        <w:ind w:left="360" w:firstLine="560"/>
        <w:rPr>
          <w:rFonts w:ascii="仿宋" w:hAnsi="仿宋" w:eastAsia="仿宋"/>
          <w:sz w:val="28"/>
          <w:szCs w:val="28"/>
        </w:rPr>
      </w:pPr>
      <w:r>
        <w:rPr>
          <w:rFonts w:ascii="仿宋" w:hAnsi="仿宋" w:eastAsia="仿宋"/>
          <w:sz w:val="28"/>
          <w:szCs w:val="28"/>
        </w:rPr>
        <w:drawing>
          <wp:inline distT="0" distB="0" distL="0" distR="0">
            <wp:extent cx="4517390" cy="291274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41">
                      <a:extLst>
                        <a:ext uri="{28A0092B-C50C-407E-A947-70E740481C1C}">
                          <a14:useLocalDpi xmlns:a14="http://schemas.microsoft.com/office/drawing/2010/main" val="0"/>
                        </a:ext>
                      </a:extLst>
                    </a:blip>
                    <a:srcRect t="3473"/>
                    <a:stretch>
                      <a:fillRect/>
                    </a:stretch>
                  </pic:blipFill>
                  <pic:spPr>
                    <a:xfrm>
                      <a:off x="0" y="0"/>
                      <a:ext cx="4517390" cy="2912745"/>
                    </a:xfrm>
                    <a:prstGeom prst="rect">
                      <a:avLst/>
                    </a:prstGeom>
                    <a:noFill/>
                    <a:ln>
                      <a:noFill/>
                    </a:ln>
                  </pic:spPr>
                </pic:pic>
              </a:graphicData>
            </a:graphic>
          </wp:inline>
        </w:drawing>
      </w:r>
    </w:p>
    <w:p>
      <w:pPr>
        <w:adjustRightInd w:val="0"/>
        <w:snapToGrid w:val="0"/>
        <w:spacing w:line="360" w:lineRule="auto"/>
        <w:jc w:val="center"/>
        <w:rPr>
          <w:rFonts w:ascii="仿宋_GB2312" w:eastAsia="仿宋_GB2312"/>
          <w:b/>
          <w:sz w:val="24"/>
          <w:szCs w:val="24"/>
        </w:rPr>
      </w:pPr>
      <w:bookmarkStart w:id="237" w:name="_Toc124169699"/>
      <w:bookmarkStart w:id="238" w:name="_Hlk121993118"/>
      <w:r>
        <w:rPr>
          <w:rFonts w:hint="eastAsia" w:ascii="仿宋_GB2312" w:eastAsia="仿宋_GB2312"/>
          <w:b/>
          <w:sz w:val="24"/>
          <w:szCs w:val="24"/>
        </w:rPr>
        <w:t xml:space="preserve">图3. </w:t>
      </w:r>
      <w:r>
        <w:rPr>
          <w:rFonts w:ascii="仿宋_GB2312" w:eastAsia="仿宋_GB2312"/>
          <w:b/>
          <w:sz w:val="24"/>
          <w:szCs w:val="24"/>
        </w:rPr>
        <w:fldChar w:fldCharType="begin"/>
      </w:r>
      <w:r>
        <w:rPr>
          <w:rFonts w:ascii="仿宋_GB2312" w:eastAsia="仿宋_GB2312"/>
          <w:b/>
          <w:sz w:val="24"/>
          <w:szCs w:val="24"/>
        </w:rPr>
        <w:instrText xml:space="preserve"> </w:instrText>
      </w:r>
      <w:r>
        <w:rPr>
          <w:rFonts w:hint="eastAsia" w:ascii="仿宋_GB2312" w:eastAsia="仿宋_GB2312"/>
          <w:b/>
          <w:sz w:val="24"/>
          <w:szCs w:val="24"/>
        </w:rPr>
        <w:instrText xml:space="preserve">SEQ 图3. \* ARABIC</w:instrText>
      </w:r>
      <w:r>
        <w:rPr>
          <w:rFonts w:ascii="仿宋_GB2312" w:eastAsia="仿宋_GB2312"/>
          <w:b/>
          <w:sz w:val="24"/>
          <w:szCs w:val="24"/>
        </w:rPr>
        <w:instrText xml:space="preserve"> </w:instrText>
      </w:r>
      <w:r>
        <w:rPr>
          <w:rFonts w:ascii="仿宋_GB2312" w:eastAsia="仿宋_GB2312"/>
          <w:b/>
          <w:sz w:val="24"/>
          <w:szCs w:val="24"/>
        </w:rPr>
        <w:fldChar w:fldCharType="separate"/>
      </w:r>
      <w:r>
        <w:rPr>
          <w:rFonts w:ascii="仿宋_GB2312" w:eastAsia="仿宋_GB2312"/>
          <w:b/>
          <w:sz w:val="24"/>
          <w:szCs w:val="24"/>
        </w:rPr>
        <w:t>4</w:t>
      </w:r>
      <w:r>
        <w:rPr>
          <w:rFonts w:ascii="仿宋_GB2312" w:eastAsia="仿宋_GB2312"/>
          <w:b/>
          <w:sz w:val="24"/>
          <w:szCs w:val="24"/>
        </w:rPr>
        <w:fldChar w:fldCharType="end"/>
      </w:r>
      <w:r>
        <w:rPr>
          <w:rFonts w:ascii="仿宋_GB2312" w:eastAsia="仿宋_GB2312"/>
          <w:b/>
          <w:sz w:val="24"/>
          <w:szCs w:val="24"/>
        </w:rPr>
        <w:t xml:space="preserve"> </w:t>
      </w:r>
      <w:r>
        <w:rPr>
          <w:rFonts w:hint="eastAsia" w:ascii="仿宋_GB2312" w:eastAsia="仿宋_GB2312"/>
          <w:b/>
          <w:sz w:val="24"/>
          <w:szCs w:val="24"/>
        </w:rPr>
        <w:t>校企合作实习生结业仪式</w:t>
      </w:r>
      <w:bookmarkEnd w:id="237"/>
    </w:p>
    <w:bookmarkEnd w:id="238"/>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各二级学院主动发力，在校企合作、工学结合、产教融合等方面积极作为：本学年艺术与建筑学院走进苏州大斌空间设计公司开展教研活动，与苏州赞歌网络科技有限公司建立合作关系，与红蚂蚁集团等企业合作创新推进校企共育“工学结合”人才培养模式；国际商学院探索校企合作实习模式（见图</w:t>
      </w:r>
      <w:r>
        <w:rPr>
          <w:rFonts w:ascii="仿宋" w:hAnsi="仿宋" w:eastAsia="仿宋"/>
          <w:sz w:val="28"/>
          <w:szCs w:val="28"/>
        </w:rPr>
        <w:t>3.4</w:t>
      </w:r>
      <w:r>
        <w:rPr>
          <w:rFonts w:hint="eastAsia" w:ascii="仿宋" w:hAnsi="仿宋" w:eastAsia="仿宋"/>
          <w:sz w:val="28"/>
          <w:szCs w:val="28"/>
        </w:rPr>
        <w:t>），并组织学生实习参加邦辰、莱锐、添可等电商企业的“双十一”活动（见图</w:t>
      </w:r>
      <w:r>
        <w:rPr>
          <w:rFonts w:ascii="仿宋" w:hAnsi="仿宋" w:eastAsia="仿宋"/>
          <w:sz w:val="28"/>
          <w:szCs w:val="28"/>
        </w:rPr>
        <w:t>3.5</w:t>
      </w:r>
      <w:r>
        <w:rPr>
          <w:rFonts w:hint="eastAsia" w:ascii="仿宋" w:hAnsi="仿宋" w:eastAsia="仿宋"/>
          <w:sz w:val="28"/>
          <w:szCs w:val="28"/>
        </w:rPr>
        <w:t>）；机电工程学院同苏州群志机械设备有限公司、德创智控科技（苏州）有限公司建立联系，共建“机器视觉实训基地”。在苏州聚力电机有限公司开展顶岗实习合作（见图</w:t>
      </w:r>
      <w:r>
        <w:rPr>
          <w:rFonts w:ascii="仿宋" w:hAnsi="仿宋" w:eastAsia="仿宋"/>
          <w:sz w:val="28"/>
          <w:szCs w:val="28"/>
        </w:rPr>
        <w:t>3.6</w:t>
      </w:r>
      <w:r>
        <w:rPr>
          <w:rFonts w:hint="eastAsia" w:ascii="仿宋" w:hAnsi="仿宋" w:eastAsia="仿宋"/>
          <w:sz w:val="28"/>
          <w:szCs w:val="28"/>
        </w:rPr>
        <w:t>）；</w:t>
      </w:r>
      <w:r>
        <w:rPr>
          <w:rFonts w:ascii="仿宋" w:hAnsi="仿宋" w:eastAsia="仿宋"/>
          <w:sz w:val="28"/>
          <w:szCs w:val="28"/>
        </w:rPr>
        <w:t>医学与公共服务学院全力做好20级护理实习工作</w:t>
      </w:r>
      <w:r>
        <w:rPr>
          <w:rFonts w:hint="eastAsia" w:ascii="仿宋" w:hAnsi="仿宋" w:eastAsia="仿宋"/>
          <w:sz w:val="28"/>
          <w:szCs w:val="28"/>
        </w:rPr>
        <w:t>，从</w:t>
      </w:r>
      <w:r>
        <w:rPr>
          <w:rFonts w:ascii="仿宋" w:hAnsi="仿宋" w:eastAsia="仿宋"/>
          <w:sz w:val="28"/>
          <w:szCs w:val="28"/>
        </w:rPr>
        <w:t>开启并组织多场活动</w:t>
      </w:r>
      <w:r>
        <w:rPr>
          <w:rFonts w:hint="eastAsia" w:ascii="仿宋" w:hAnsi="仿宋" w:eastAsia="仿宋"/>
          <w:sz w:val="28"/>
          <w:szCs w:val="28"/>
        </w:rPr>
        <w:t>的</w:t>
      </w:r>
      <w:r>
        <w:rPr>
          <w:rFonts w:ascii="仿宋" w:hAnsi="仿宋" w:eastAsia="仿宋"/>
          <w:sz w:val="28"/>
          <w:szCs w:val="28"/>
        </w:rPr>
        <w:t>实习前准备</w:t>
      </w:r>
      <w:r>
        <w:rPr>
          <w:rFonts w:hint="eastAsia" w:ascii="仿宋" w:hAnsi="仿宋" w:eastAsia="仿宋"/>
          <w:sz w:val="28"/>
          <w:szCs w:val="28"/>
        </w:rPr>
        <w:t>，</w:t>
      </w:r>
      <w:r>
        <w:rPr>
          <w:rFonts w:ascii="仿宋" w:hAnsi="仿宋" w:eastAsia="仿宋"/>
          <w:sz w:val="28"/>
          <w:szCs w:val="28"/>
        </w:rPr>
        <w:t>到召开的</w:t>
      </w:r>
      <w:bookmarkStart w:id="239" w:name="_Hlk121387108"/>
      <w:r>
        <w:rPr>
          <w:rFonts w:ascii="仿宋" w:hAnsi="仿宋" w:eastAsia="仿宋"/>
          <w:sz w:val="28"/>
          <w:szCs w:val="28"/>
        </w:rPr>
        <w:t>24家医院实习</w:t>
      </w:r>
      <w:bookmarkEnd w:id="239"/>
      <w:r>
        <w:rPr>
          <w:rFonts w:ascii="仿宋" w:hAnsi="仿宋" w:eastAsia="仿宋"/>
          <w:sz w:val="28"/>
          <w:szCs w:val="28"/>
        </w:rPr>
        <w:t>生组长和24位送点老师</w:t>
      </w:r>
      <w:r>
        <w:rPr>
          <w:rFonts w:hint="eastAsia" w:ascii="仿宋" w:hAnsi="仿宋" w:eastAsia="仿宋"/>
          <w:sz w:val="28"/>
          <w:szCs w:val="28"/>
        </w:rPr>
        <w:t>参加的</w:t>
      </w:r>
      <w:r>
        <w:rPr>
          <w:rFonts w:ascii="仿宋" w:hAnsi="仿宋" w:eastAsia="仿宋"/>
          <w:sz w:val="28"/>
          <w:szCs w:val="28"/>
        </w:rPr>
        <w:t>送点工作会议</w:t>
      </w:r>
      <w:r>
        <w:rPr>
          <w:rFonts w:hint="eastAsia" w:ascii="仿宋" w:hAnsi="仿宋" w:eastAsia="仿宋"/>
          <w:sz w:val="28"/>
          <w:szCs w:val="28"/>
        </w:rPr>
        <w:t>，再到做好24家实习医院的学生实习管理（见图</w:t>
      </w:r>
      <w:r>
        <w:rPr>
          <w:rFonts w:ascii="仿宋" w:hAnsi="仿宋" w:eastAsia="仿宋"/>
          <w:sz w:val="28"/>
          <w:szCs w:val="28"/>
        </w:rPr>
        <w:t>3.7</w:t>
      </w:r>
      <w:r>
        <w:rPr>
          <w:rFonts w:hint="eastAsia" w:ascii="仿宋" w:hAnsi="仿宋" w:eastAsia="仿宋"/>
          <w:sz w:val="28"/>
          <w:szCs w:val="28"/>
        </w:rPr>
        <w:t>）；</w:t>
      </w:r>
      <w:r>
        <w:rPr>
          <w:rFonts w:ascii="仿宋" w:hAnsi="仿宋" w:eastAsia="仿宋"/>
          <w:sz w:val="28"/>
          <w:szCs w:val="28"/>
        </w:rPr>
        <w:t>信息与软件学院</w:t>
      </w:r>
      <w:r>
        <w:rPr>
          <w:rFonts w:hint="eastAsia" w:ascii="仿宋" w:hAnsi="仿宋" w:eastAsia="仿宋"/>
          <w:sz w:val="28"/>
          <w:szCs w:val="28"/>
        </w:rPr>
        <w:t>受邀</w:t>
      </w:r>
      <w:r>
        <w:rPr>
          <w:rFonts w:ascii="仿宋" w:hAnsi="仿宋" w:eastAsia="仿宋"/>
          <w:sz w:val="28"/>
          <w:szCs w:val="28"/>
        </w:rPr>
        <w:t>参加长三角一体化产教联盟筹备会</w:t>
      </w:r>
      <w:r>
        <w:rPr>
          <w:rFonts w:hint="eastAsia" w:ascii="仿宋" w:hAnsi="仿宋" w:eastAsia="仿宋"/>
          <w:sz w:val="28"/>
          <w:szCs w:val="28"/>
        </w:rPr>
        <w:t>，</w:t>
      </w:r>
      <w:r>
        <w:rPr>
          <w:rFonts w:ascii="仿宋" w:hAnsi="仿宋" w:eastAsia="仿宋"/>
          <w:sz w:val="28"/>
          <w:szCs w:val="28"/>
        </w:rPr>
        <w:t>就高校专业建设进行了沟通和交流，针对现阶段高校新专业建设中经费不足，重复建设等问题，联合联盟各高校进行“人工智能技术应用”等新兴专业建设，通过联合联盟各高</w:t>
      </w:r>
      <w:r>
        <w:rPr>
          <w:rFonts w:hint="eastAsia" w:ascii="仿宋" w:hAnsi="仿宋" w:eastAsia="仿宋"/>
          <w:sz w:val="28"/>
          <w:szCs w:val="28"/>
        </w:rPr>
        <w:t>校共同进行人工智能实验箱设备开发、《人工智能导论》教材开发等工作，共同推进专业建设。</w:t>
      </w:r>
    </w:p>
    <w:p>
      <w:pPr>
        <w:pStyle w:val="39"/>
        <w:ind w:left="360"/>
      </w:pPr>
      <w:r>
        <w:t></w:t>
      </w:r>
      <w:r>
        <w:tab/>
      </w:r>
      <w:r>
        <w:drawing>
          <wp:inline distT="0" distB="0" distL="0" distR="0">
            <wp:extent cx="4267200" cy="31623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4267200" cy="3162300"/>
                    </a:xfrm>
                    <a:prstGeom prst="rect">
                      <a:avLst/>
                    </a:prstGeom>
                    <a:noFill/>
                    <a:ln>
                      <a:noFill/>
                    </a:ln>
                  </pic:spPr>
                </pic:pic>
              </a:graphicData>
            </a:graphic>
          </wp:inline>
        </w:drawing>
      </w:r>
    </w:p>
    <w:p>
      <w:pPr>
        <w:adjustRightInd w:val="0"/>
        <w:snapToGrid w:val="0"/>
        <w:spacing w:line="360" w:lineRule="auto"/>
        <w:jc w:val="center"/>
        <w:rPr>
          <w:rFonts w:ascii="仿宋_GB2312" w:eastAsia="仿宋_GB2312"/>
          <w:b/>
          <w:sz w:val="24"/>
          <w:szCs w:val="24"/>
        </w:rPr>
      </w:pPr>
      <w:bookmarkStart w:id="240" w:name="_Toc124169700"/>
      <w:r>
        <w:rPr>
          <w:rFonts w:hint="eastAsia" w:ascii="仿宋_GB2312" w:eastAsia="仿宋_GB2312"/>
          <w:b/>
          <w:sz w:val="24"/>
          <w:szCs w:val="24"/>
        </w:rPr>
        <w:t>图</w:t>
      </w:r>
      <w:bookmarkStart w:id="241" w:name="_Hlk124258203"/>
      <w:r>
        <w:rPr>
          <w:rFonts w:hint="eastAsia" w:ascii="仿宋_GB2312" w:eastAsia="仿宋_GB2312"/>
          <w:b/>
          <w:sz w:val="24"/>
          <w:szCs w:val="24"/>
        </w:rPr>
        <w:t xml:space="preserve">3. </w:t>
      </w:r>
      <w:r>
        <w:rPr>
          <w:rFonts w:ascii="仿宋_GB2312" w:eastAsia="仿宋_GB2312"/>
          <w:b/>
          <w:sz w:val="24"/>
          <w:szCs w:val="24"/>
        </w:rPr>
        <w:fldChar w:fldCharType="begin"/>
      </w:r>
      <w:r>
        <w:rPr>
          <w:rFonts w:ascii="仿宋_GB2312" w:eastAsia="仿宋_GB2312"/>
          <w:b/>
          <w:sz w:val="24"/>
          <w:szCs w:val="24"/>
        </w:rPr>
        <w:instrText xml:space="preserve"> </w:instrText>
      </w:r>
      <w:r>
        <w:rPr>
          <w:rFonts w:hint="eastAsia" w:ascii="仿宋_GB2312" w:eastAsia="仿宋_GB2312"/>
          <w:b/>
          <w:sz w:val="24"/>
          <w:szCs w:val="24"/>
        </w:rPr>
        <w:instrText xml:space="preserve">SEQ 图3. \* ARABIC</w:instrText>
      </w:r>
      <w:r>
        <w:rPr>
          <w:rFonts w:ascii="仿宋_GB2312" w:eastAsia="仿宋_GB2312"/>
          <w:b/>
          <w:sz w:val="24"/>
          <w:szCs w:val="24"/>
        </w:rPr>
        <w:instrText xml:space="preserve"> </w:instrText>
      </w:r>
      <w:r>
        <w:rPr>
          <w:rFonts w:ascii="仿宋_GB2312" w:eastAsia="仿宋_GB2312"/>
          <w:b/>
          <w:sz w:val="24"/>
          <w:szCs w:val="24"/>
        </w:rPr>
        <w:fldChar w:fldCharType="separate"/>
      </w:r>
      <w:r>
        <w:rPr>
          <w:rFonts w:ascii="仿宋_GB2312" w:eastAsia="仿宋_GB2312"/>
          <w:b/>
          <w:sz w:val="24"/>
          <w:szCs w:val="24"/>
        </w:rPr>
        <w:t>5</w:t>
      </w:r>
      <w:r>
        <w:rPr>
          <w:rFonts w:ascii="仿宋_GB2312" w:eastAsia="仿宋_GB2312"/>
          <w:b/>
          <w:sz w:val="24"/>
          <w:szCs w:val="24"/>
        </w:rPr>
        <w:fldChar w:fldCharType="end"/>
      </w:r>
      <w:r>
        <w:rPr>
          <w:rFonts w:ascii="仿宋_GB2312" w:eastAsia="仿宋_GB2312"/>
          <w:b/>
          <w:sz w:val="24"/>
          <w:szCs w:val="24"/>
        </w:rPr>
        <w:t xml:space="preserve"> </w:t>
      </w:r>
      <w:bookmarkEnd w:id="241"/>
      <w:r>
        <w:rPr>
          <w:rFonts w:hint="eastAsia" w:ascii="仿宋_GB2312" w:eastAsia="仿宋_GB2312"/>
          <w:b/>
          <w:sz w:val="24"/>
          <w:szCs w:val="24"/>
        </w:rPr>
        <w:t>助力电子商务企业“双十一”活动剪影</w:t>
      </w:r>
      <w:bookmarkEnd w:id="240"/>
    </w:p>
    <w:p>
      <w:pPr>
        <w:adjustRightInd w:val="0"/>
        <w:snapToGrid w:val="0"/>
        <w:spacing w:line="360" w:lineRule="auto"/>
        <w:ind w:firstLine="560" w:firstLineChars="200"/>
        <w:rPr>
          <w:rFonts w:ascii="仿宋" w:hAnsi="仿宋" w:eastAsia="仿宋"/>
          <w:sz w:val="28"/>
          <w:szCs w:val="28"/>
        </w:rPr>
      </w:pPr>
      <w:r>
        <w:rPr>
          <w:rFonts w:ascii="仿宋" w:hAnsi="仿宋" w:eastAsia="仿宋"/>
          <w:sz w:val="28"/>
          <w:szCs w:val="28"/>
        </w:rPr>
        <w:t>学校与山石网科通信技术有限公司联合申报的“优势互补，校企共赢——校企联合打造高端网络安全人才”</w:t>
      </w:r>
      <w:r>
        <w:rPr>
          <w:rFonts w:hint="eastAsia" w:ascii="仿宋" w:hAnsi="仿宋" w:eastAsia="仿宋"/>
          <w:sz w:val="28"/>
          <w:szCs w:val="28"/>
        </w:rPr>
        <w:t>项目，</w:t>
      </w:r>
      <w:r>
        <w:rPr>
          <w:rFonts w:ascii="仿宋" w:hAnsi="仿宋" w:eastAsia="仿宋"/>
          <w:sz w:val="28"/>
          <w:szCs w:val="28"/>
        </w:rPr>
        <w:t>荣获“苏州市现代职业教育校企合作示范组合”称号</w:t>
      </w:r>
      <w:r>
        <w:rPr>
          <w:rFonts w:hint="eastAsia" w:ascii="仿宋" w:hAnsi="仿宋" w:eastAsia="仿宋"/>
          <w:sz w:val="28"/>
          <w:szCs w:val="28"/>
        </w:rPr>
        <w:t>。学校申报的“高博-亨通”软件技术企业学院入选江苏省职业教育校企合作示范组合培育项目。也同企业联合开发 “日日聘”招聘软件，为该校学生实习提供了丰富、可靠的选择。合作单位逐步深入育人过程，校企合作</w:t>
      </w:r>
      <w:bookmarkStart w:id="242" w:name="_Hlk121900101"/>
      <w:r>
        <w:rPr>
          <w:rFonts w:hint="eastAsia" w:ascii="仿宋" w:hAnsi="仿宋" w:eastAsia="仿宋"/>
          <w:sz w:val="28"/>
          <w:szCs w:val="28"/>
        </w:rPr>
        <w:t>开发课程</w:t>
      </w:r>
      <w:bookmarkEnd w:id="242"/>
      <w:r>
        <w:rPr>
          <w:rFonts w:hint="eastAsia" w:ascii="仿宋" w:hAnsi="仿宋" w:eastAsia="仿宋"/>
          <w:sz w:val="28"/>
          <w:szCs w:val="28"/>
        </w:rPr>
        <w:t>，</w:t>
      </w:r>
      <w:bookmarkStart w:id="243" w:name="_Hlk121900182"/>
      <w:r>
        <w:rPr>
          <w:rFonts w:hint="eastAsia" w:ascii="仿宋" w:hAnsi="仿宋" w:eastAsia="仿宋"/>
          <w:sz w:val="28"/>
          <w:szCs w:val="28"/>
        </w:rPr>
        <w:t>合作编写教材</w:t>
      </w:r>
      <w:bookmarkEnd w:id="243"/>
      <w:r>
        <w:rPr>
          <w:rFonts w:hint="eastAsia" w:ascii="仿宋" w:hAnsi="仿宋" w:eastAsia="仿宋"/>
          <w:sz w:val="28"/>
          <w:szCs w:val="28"/>
        </w:rPr>
        <w:t>。本学年合作开发课程2</w:t>
      </w:r>
      <w:r>
        <w:rPr>
          <w:rFonts w:ascii="仿宋" w:hAnsi="仿宋" w:eastAsia="仿宋"/>
          <w:sz w:val="28"/>
          <w:szCs w:val="28"/>
        </w:rPr>
        <w:t>53</w:t>
      </w:r>
      <w:r>
        <w:rPr>
          <w:rFonts w:hint="eastAsia" w:ascii="仿宋" w:hAnsi="仿宋" w:eastAsia="仿宋"/>
          <w:sz w:val="28"/>
          <w:szCs w:val="28"/>
        </w:rPr>
        <w:t>门，两年达3</w:t>
      </w:r>
      <w:r>
        <w:rPr>
          <w:rFonts w:ascii="仿宋" w:hAnsi="仿宋" w:eastAsia="仿宋"/>
          <w:sz w:val="28"/>
          <w:szCs w:val="28"/>
        </w:rPr>
        <w:t>14</w:t>
      </w:r>
      <w:r>
        <w:rPr>
          <w:rFonts w:hint="eastAsia" w:ascii="仿宋" w:hAnsi="仿宋" w:eastAsia="仿宋"/>
          <w:sz w:val="28"/>
          <w:szCs w:val="28"/>
        </w:rPr>
        <w:t>门；合作编写教材1</w:t>
      </w:r>
      <w:r>
        <w:rPr>
          <w:rFonts w:ascii="仿宋" w:hAnsi="仿宋" w:eastAsia="仿宋"/>
          <w:sz w:val="28"/>
          <w:szCs w:val="28"/>
        </w:rPr>
        <w:t>1</w:t>
      </w:r>
      <w:r>
        <w:rPr>
          <w:rFonts w:hint="eastAsia" w:ascii="仿宋" w:hAnsi="仿宋" w:eastAsia="仿宋"/>
          <w:sz w:val="28"/>
          <w:szCs w:val="28"/>
        </w:rPr>
        <w:t>部，两年达4</w:t>
      </w:r>
      <w:r>
        <w:rPr>
          <w:rFonts w:ascii="仿宋" w:hAnsi="仿宋" w:eastAsia="仿宋"/>
          <w:sz w:val="28"/>
          <w:szCs w:val="28"/>
        </w:rPr>
        <w:t>8</w:t>
      </w:r>
      <w:r>
        <w:rPr>
          <w:rFonts w:hint="eastAsia" w:ascii="仿宋" w:hAnsi="仿宋" w:eastAsia="仿宋"/>
          <w:sz w:val="28"/>
          <w:szCs w:val="28"/>
        </w:rPr>
        <w:t>部。</w:t>
      </w:r>
    </w:p>
    <w:p>
      <w:pPr>
        <w:adjustRightInd w:val="0"/>
        <w:snapToGrid w:val="0"/>
        <w:spacing w:line="360" w:lineRule="auto"/>
        <w:ind w:firstLine="420" w:firstLineChars="200"/>
        <w:jc w:val="center"/>
        <w:rPr>
          <w:rFonts w:ascii="仿宋" w:hAnsi="仿宋" w:eastAsia="仿宋"/>
          <w:sz w:val="28"/>
          <w:szCs w:val="28"/>
        </w:rPr>
      </w:pPr>
      <w:r>
        <w:drawing>
          <wp:inline distT="0" distB="0" distL="0" distR="0">
            <wp:extent cx="4023360" cy="230124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43" cstate="print">
                      <a:extLst>
                        <a:ext uri="{28A0092B-C50C-407E-A947-70E740481C1C}">
                          <a14:useLocalDpi xmlns:a14="http://schemas.microsoft.com/office/drawing/2010/main" val="0"/>
                        </a:ext>
                      </a:extLst>
                    </a:blip>
                    <a:srcRect t="13587"/>
                    <a:stretch>
                      <a:fillRect/>
                    </a:stretch>
                  </pic:blipFill>
                  <pic:spPr>
                    <a:xfrm>
                      <a:off x="0" y="0"/>
                      <a:ext cx="4050606" cy="2317459"/>
                    </a:xfrm>
                    <a:prstGeom prst="rect">
                      <a:avLst/>
                    </a:prstGeom>
                    <a:noFill/>
                    <a:ln>
                      <a:noFill/>
                    </a:ln>
                  </pic:spPr>
                </pic:pic>
              </a:graphicData>
            </a:graphic>
          </wp:inline>
        </w:drawing>
      </w:r>
    </w:p>
    <w:p>
      <w:pPr>
        <w:adjustRightInd w:val="0"/>
        <w:snapToGrid w:val="0"/>
        <w:spacing w:line="360" w:lineRule="auto"/>
        <w:jc w:val="center"/>
        <w:rPr>
          <w:rFonts w:ascii="仿宋_GB2312" w:eastAsia="仿宋_GB2312"/>
          <w:b/>
          <w:sz w:val="24"/>
          <w:szCs w:val="24"/>
        </w:rPr>
      </w:pPr>
      <w:bookmarkStart w:id="244" w:name="_Toc124169701"/>
      <w:bookmarkStart w:id="245" w:name="_Hlk121993149"/>
      <w:r>
        <w:rPr>
          <w:rFonts w:hint="eastAsia" w:ascii="仿宋_GB2312" w:eastAsia="仿宋_GB2312"/>
          <w:b/>
          <w:sz w:val="24"/>
          <w:szCs w:val="24"/>
        </w:rPr>
        <w:t xml:space="preserve">图3. </w:t>
      </w:r>
      <w:r>
        <w:rPr>
          <w:rFonts w:ascii="仿宋_GB2312" w:eastAsia="仿宋_GB2312"/>
          <w:b/>
          <w:sz w:val="24"/>
          <w:szCs w:val="24"/>
        </w:rPr>
        <w:fldChar w:fldCharType="begin"/>
      </w:r>
      <w:r>
        <w:rPr>
          <w:rFonts w:ascii="仿宋_GB2312" w:eastAsia="仿宋_GB2312"/>
          <w:b/>
          <w:sz w:val="24"/>
          <w:szCs w:val="24"/>
        </w:rPr>
        <w:instrText xml:space="preserve"> </w:instrText>
      </w:r>
      <w:r>
        <w:rPr>
          <w:rFonts w:hint="eastAsia" w:ascii="仿宋_GB2312" w:eastAsia="仿宋_GB2312"/>
          <w:b/>
          <w:sz w:val="24"/>
          <w:szCs w:val="24"/>
        </w:rPr>
        <w:instrText xml:space="preserve">SEQ 图3. \* ARABIC</w:instrText>
      </w:r>
      <w:r>
        <w:rPr>
          <w:rFonts w:ascii="仿宋_GB2312" w:eastAsia="仿宋_GB2312"/>
          <w:b/>
          <w:sz w:val="24"/>
          <w:szCs w:val="24"/>
        </w:rPr>
        <w:instrText xml:space="preserve"> </w:instrText>
      </w:r>
      <w:r>
        <w:rPr>
          <w:rFonts w:ascii="仿宋_GB2312" w:eastAsia="仿宋_GB2312"/>
          <w:b/>
          <w:sz w:val="24"/>
          <w:szCs w:val="24"/>
        </w:rPr>
        <w:fldChar w:fldCharType="separate"/>
      </w:r>
      <w:r>
        <w:rPr>
          <w:rFonts w:ascii="仿宋_GB2312" w:eastAsia="仿宋_GB2312"/>
          <w:b/>
          <w:sz w:val="24"/>
          <w:szCs w:val="24"/>
        </w:rPr>
        <w:t>6</w:t>
      </w:r>
      <w:r>
        <w:rPr>
          <w:rFonts w:ascii="仿宋_GB2312" w:eastAsia="仿宋_GB2312"/>
          <w:b/>
          <w:sz w:val="24"/>
          <w:szCs w:val="24"/>
        </w:rPr>
        <w:fldChar w:fldCharType="end"/>
      </w:r>
      <w:r>
        <w:rPr>
          <w:rFonts w:ascii="仿宋_GB2312" w:eastAsia="仿宋_GB2312"/>
          <w:b/>
          <w:sz w:val="24"/>
          <w:szCs w:val="24"/>
        </w:rPr>
        <w:t xml:space="preserve">  </w:t>
      </w:r>
      <w:r>
        <w:rPr>
          <w:rFonts w:hint="eastAsia" w:ascii="仿宋_GB2312" w:eastAsia="仿宋_GB2312"/>
          <w:b/>
          <w:sz w:val="24"/>
          <w:szCs w:val="24"/>
        </w:rPr>
        <w:t>机械工程专业学生的岗位实习</w:t>
      </w:r>
      <w:bookmarkEnd w:id="244"/>
    </w:p>
    <w:bookmarkEnd w:id="245"/>
    <w:p>
      <w:pPr>
        <w:adjustRightInd w:val="0"/>
        <w:snapToGrid w:val="0"/>
        <w:spacing w:line="360" w:lineRule="auto"/>
        <w:ind w:firstLine="560" w:firstLineChars="200"/>
        <w:rPr>
          <w:rFonts w:ascii="仿宋" w:hAnsi="仿宋" w:eastAsia="仿宋"/>
          <w:sz w:val="28"/>
          <w:szCs w:val="28"/>
        </w:rPr>
      </w:pPr>
      <w:r>
        <w:rPr>
          <w:rFonts w:ascii="仿宋" w:hAnsi="仿宋" w:eastAsia="仿宋"/>
          <w:sz w:val="28"/>
          <w:szCs w:val="28"/>
        </w:rPr>
        <w:t>合作企业</w:t>
      </w:r>
      <w:r>
        <w:rPr>
          <w:rFonts w:hint="eastAsia" w:ascii="仿宋" w:hAnsi="仿宋" w:eastAsia="仿宋"/>
          <w:sz w:val="28"/>
          <w:szCs w:val="28"/>
        </w:rPr>
        <w:t>积极设立企业</w:t>
      </w:r>
      <w:r>
        <w:rPr>
          <w:rFonts w:ascii="仿宋" w:hAnsi="仿宋" w:eastAsia="仿宋"/>
          <w:sz w:val="28"/>
          <w:szCs w:val="28"/>
        </w:rPr>
        <w:t>奖学金</w:t>
      </w:r>
      <w:r>
        <w:rPr>
          <w:rFonts w:hint="eastAsia" w:ascii="仿宋" w:hAnsi="仿宋" w:eastAsia="仿宋"/>
          <w:sz w:val="28"/>
          <w:szCs w:val="28"/>
        </w:rPr>
        <w:t>或</w:t>
      </w:r>
      <w:r>
        <w:rPr>
          <w:rFonts w:ascii="仿宋" w:hAnsi="仿宋" w:eastAsia="仿宋"/>
          <w:sz w:val="28"/>
          <w:szCs w:val="28"/>
        </w:rPr>
        <w:t>助学</w:t>
      </w:r>
      <w:r>
        <w:rPr>
          <w:rFonts w:hint="eastAsia" w:ascii="仿宋" w:hAnsi="仿宋" w:eastAsia="仿宋"/>
          <w:sz w:val="28"/>
          <w:szCs w:val="28"/>
        </w:rPr>
        <w:t>金，资助</w:t>
      </w:r>
      <w:r>
        <w:rPr>
          <w:rFonts w:ascii="仿宋" w:hAnsi="仿宋" w:eastAsia="仿宋"/>
          <w:sz w:val="28"/>
          <w:szCs w:val="28"/>
        </w:rPr>
        <w:t>并</w:t>
      </w:r>
      <w:r>
        <w:rPr>
          <w:rFonts w:hint="eastAsia" w:ascii="仿宋" w:hAnsi="仿宋" w:eastAsia="仿宋"/>
          <w:sz w:val="28"/>
          <w:szCs w:val="28"/>
        </w:rPr>
        <w:t>助推</w:t>
      </w:r>
      <w:r>
        <w:rPr>
          <w:rFonts w:ascii="仿宋" w:hAnsi="仿宋" w:eastAsia="仿宋"/>
          <w:sz w:val="28"/>
          <w:szCs w:val="28"/>
        </w:rPr>
        <w:t>该校学生成长</w:t>
      </w:r>
      <w:r>
        <w:rPr>
          <w:rFonts w:hint="eastAsia" w:ascii="仿宋" w:hAnsi="仿宋" w:eastAsia="仿宋"/>
          <w:sz w:val="28"/>
          <w:szCs w:val="28"/>
        </w:rPr>
        <w:t>。学校优秀学生颁发苏州东吴奖学金；艺术与建筑学院接受苏州芯才科技有限公司的捐赠；受助金螳螂公益慈善基金会专项基金，多名品学兼优，家庭困难的学生获取助学金；博克爱心基金会关心该校，为成绩突出的组织获奖代表和优秀个人颁奖，持续为该校学生送上温暖与关怀。苏州技泰精密部件有限公司、苏州聚力电机有限公司在机电工程学院设立奖学金，为在工学结合中表现优异的同学给予关心和支持。</w:t>
      </w:r>
    </w:p>
    <w:p>
      <w:pPr>
        <w:adjustRightInd w:val="0"/>
        <w:snapToGrid w:val="0"/>
        <w:spacing w:line="360" w:lineRule="auto"/>
        <w:ind w:firstLine="420" w:firstLineChars="200"/>
        <w:jc w:val="center"/>
        <w:rPr>
          <w:rFonts w:ascii="仿宋" w:hAnsi="仿宋" w:eastAsia="仿宋"/>
          <w:sz w:val="28"/>
          <w:szCs w:val="28"/>
        </w:rPr>
      </w:pPr>
      <w:r>
        <w:drawing>
          <wp:inline distT="0" distB="0" distL="0" distR="0">
            <wp:extent cx="3985895" cy="3335655"/>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4007523" cy="3353607"/>
                    </a:xfrm>
                    <a:prstGeom prst="rect">
                      <a:avLst/>
                    </a:prstGeom>
                    <a:noFill/>
                    <a:ln>
                      <a:noFill/>
                    </a:ln>
                  </pic:spPr>
                </pic:pic>
              </a:graphicData>
            </a:graphic>
          </wp:inline>
        </w:drawing>
      </w:r>
    </w:p>
    <w:p>
      <w:pPr>
        <w:adjustRightInd w:val="0"/>
        <w:snapToGrid w:val="0"/>
        <w:spacing w:line="360" w:lineRule="auto"/>
        <w:jc w:val="center"/>
        <w:rPr>
          <w:rFonts w:ascii="仿宋_GB2312" w:eastAsia="仿宋_GB2312"/>
          <w:b/>
          <w:sz w:val="24"/>
          <w:szCs w:val="24"/>
        </w:rPr>
      </w:pPr>
      <w:bookmarkStart w:id="246" w:name="_Toc124169702"/>
      <w:bookmarkStart w:id="247" w:name="_Hlk121993164"/>
      <w:r>
        <w:rPr>
          <w:rFonts w:hint="eastAsia" w:ascii="仿宋_GB2312" w:eastAsia="仿宋_GB2312"/>
          <w:b/>
          <w:sz w:val="24"/>
          <w:szCs w:val="24"/>
        </w:rPr>
        <w:t xml:space="preserve">图3. </w:t>
      </w:r>
      <w:r>
        <w:rPr>
          <w:rFonts w:ascii="仿宋_GB2312" w:eastAsia="仿宋_GB2312"/>
          <w:b/>
          <w:sz w:val="24"/>
          <w:szCs w:val="24"/>
        </w:rPr>
        <w:fldChar w:fldCharType="begin"/>
      </w:r>
      <w:r>
        <w:rPr>
          <w:rFonts w:ascii="仿宋_GB2312" w:eastAsia="仿宋_GB2312"/>
          <w:b/>
          <w:sz w:val="24"/>
          <w:szCs w:val="24"/>
        </w:rPr>
        <w:instrText xml:space="preserve"> </w:instrText>
      </w:r>
      <w:r>
        <w:rPr>
          <w:rFonts w:hint="eastAsia" w:ascii="仿宋_GB2312" w:eastAsia="仿宋_GB2312"/>
          <w:b/>
          <w:sz w:val="24"/>
          <w:szCs w:val="24"/>
        </w:rPr>
        <w:instrText xml:space="preserve">SEQ 图3. \* ARABIC</w:instrText>
      </w:r>
      <w:r>
        <w:rPr>
          <w:rFonts w:ascii="仿宋_GB2312" w:eastAsia="仿宋_GB2312"/>
          <w:b/>
          <w:sz w:val="24"/>
          <w:szCs w:val="24"/>
        </w:rPr>
        <w:instrText xml:space="preserve"> </w:instrText>
      </w:r>
      <w:r>
        <w:rPr>
          <w:rFonts w:ascii="仿宋_GB2312" w:eastAsia="仿宋_GB2312"/>
          <w:b/>
          <w:sz w:val="24"/>
          <w:szCs w:val="24"/>
        </w:rPr>
        <w:fldChar w:fldCharType="separate"/>
      </w:r>
      <w:r>
        <w:rPr>
          <w:rFonts w:ascii="仿宋_GB2312" w:eastAsia="仿宋_GB2312"/>
          <w:b/>
          <w:sz w:val="24"/>
          <w:szCs w:val="24"/>
        </w:rPr>
        <w:t>7</w:t>
      </w:r>
      <w:r>
        <w:rPr>
          <w:rFonts w:ascii="仿宋_GB2312" w:eastAsia="仿宋_GB2312"/>
          <w:b/>
          <w:sz w:val="24"/>
          <w:szCs w:val="24"/>
        </w:rPr>
        <w:fldChar w:fldCharType="end"/>
      </w:r>
      <w:r>
        <w:rPr>
          <w:rFonts w:ascii="仿宋_GB2312" w:eastAsia="仿宋_GB2312"/>
          <w:b/>
          <w:sz w:val="24"/>
          <w:szCs w:val="24"/>
        </w:rPr>
        <w:t xml:space="preserve"> </w:t>
      </w:r>
      <w:r>
        <w:rPr>
          <w:rFonts w:hint="eastAsia" w:ascii="仿宋_GB2312" w:eastAsia="仿宋_GB2312"/>
          <w:b/>
          <w:sz w:val="24"/>
          <w:szCs w:val="24"/>
        </w:rPr>
        <w:t>护理专业毕业实习剪影</w:t>
      </w:r>
      <w:bookmarkEnd w:id="246"/>
    </w:p>
    <w:bookmarkEnd w:id="247"/>
    <w:p>
      <w:pPr>
        <w:adjustRightInd w:val="0"/>
        <w:snapToGrid w:val="0"/>
        <w:spacing w:line="360" w:lineRule="auto"/>
        <w:ind w:firstLine="560" w:firstLineChars="200"/>
        <w:rPr>
          <w:rFonts w:ascii="仿宋" w:hAnsi="仿宋" w:eastAsia="仿宋"/>
          <w:sz w:val="28"/>
          <w:szCs w:val="28"/>
        </w:rPr>
      </w:pPr>
    </w:p>
    <w:p>
      <w:pPr>
        <w:spacing w:line="360" w:lineRule="auto"/>
        <w:ind w:firstLine="482" w:firstLineChars="200"/>
        <w:jc w:val="left"/>
        <w:outlineLvl w:val="2"/>
        <w:rPr>
          <w:rFonts w:ascii="仿宋_GB2312" w:hAnsi="宋体" w:eastAsia="仿宋_GB2312"/>
          <w:b/>
          <w:color w:val="000000" w:themeColor="text1"/>
          <w:sz w:val="24"/>
          <w:szCs w:val="24"/>
        </w:rPr>
      </w:pPr>
      <w:bookmarkStart w:id="248" w:name="_Toc22102374"/>
      <w:bookmarkStart w:id="249" w:name="_Toc124087902"/>
      <w:bookmarkStart w:id="250" w:name="_Hlk499710507"/>
      <w:bookmarkStart w:id="251" w:name="_Toc533519408"/>
      <w:bookmarkStart w:id="252" w:name="_Toc500492301"/>
      <w:r>
        <w:rPr>
          <w:rFonts w:hint="eastAsia" w:ascii="仿宋_GB2312" w:hAnsi="宋体" w:eastAsia="仿宋_GB2312"/>
          <w:b/>
          <w:color w:val="000000" w:themeColor="text1"/>
          <w:sz w:val="24"/>
          <w:szCs w:val="24"/>
        </w:rPr>
        <w:t>案例</w:t>
      </w:r>
      <w:r>
        <w:rPr>
          <w:rFonts w:ascii="仿宋_GB2312" w:hAnsi="宋体" w:eastAsia="仿宋_GB2312"/>
          <w:b/>
          <w:color w:val="000000" w:themeColor="text1"/>
          <w:sz w:val="24"/>
          <w:szCs w:val="24"/>
        </w:rPr>
        <w:t>10</w:t>
      </w:r>
      <w:r>
        <w:rPr>
          <w:rFonts w:hint="eastAsia" w:ascii="仿宋_GB2312" w:hAnsi="宋体" w:eastAsia="仿宋_GB2312"/>
          <w:b/>
          <w:color w:val="000000" w:themeColor="text1"/>
          <w:sz w:val="24"/>
          <w:szCs w:val="24"/>
        </w:rPr>
        <w:t>：</w:t>
      </w:r>
      <w:bookmarkEnd w:id="248"/>
      <w:bookmarkStart w:id="253" w:name="_Toc119932705"/>
      <w:r>
        <w:rPr>
          <w:rFonts w:hint="eastAsia" w:ascii="仿宋_GB2312" w:hAnsi="宋体" w:eastAsia="仿宋_GB2312"/>
          <w:b/>
          <w:color w:val="000000" w:themeColor="text1"/>
          <w:sz w:val="24"/>
          <w:szCs w:val="24"/>
        </w:rPr>
        <w:t>【校企联动构建“企业学院”育人新模式】</w:t>
      </w:r>
      <w:bookmarkEnd w:id="249"/>
      <w:bookmarkEnd w:id="253"/>
    </w:p>
    <w:p>
      <w:pPr>
        <w:widowControl/>
        <w:spacing w:line="360" w:lineRule="auto"/>
        <w:ind w:firstLine="480" w:firstLineChars="200"/>
        <w:rPr>
          <w:rFonts w:ascii="楷体_GB2312" w:hAnsi="宋体" w:eastAsia="楷体_GB2312" w:cs="Times New Roman"/>
          <w:color w:val="000000" w:themeColor="text1"/>
          <w:kern w:val="0"/>
          <w:sz w:val="24"/>
          <w:szCs w:val="24"/>
        </w:rPr>
      </w:pPr>
      <w:r>
        <w:rPr>
          <w:rFonts w:hint="eastAsia" w:ascii="楷体_GB2312" w:hAnsi="宋体" w:eastAsia="楷体_GB2312" w:cs="Times New Roman"/>
          <w:color w:val="000000" w:themeColor="text1"/>
          <w:kern w:val="0"/>
          <w:sz w:val="24"/>
          <w:szCs w:val="24"/>
        </w:rPr>
        <w:t>按照国家《关于推动教育高质量发展的意见》，落实苏州市教育局《关于推进苏州市职业院校企业学院建设的意见》，学校创新校企合作办学机制，推动“企业学院”建设，实现育人高质量发展。根据专业建设需求和地方经济社会发展定位，该校与行业内有较高知名度和社会影响力的企业实现共建。已建成“亨通企业学院”、“</w:t>
      </w:r>
      <w:bookmarkStart w:id="254" w:name="_Hlk119656478"/>
      <w:r>
        <w:rPr>
          <w:rFonts w:hint="eastAsia" w:ascii="楷体_GB2312" w:hAnsi="宋体" w:eastAsia="楷体_GB2312" w:cs="Times New Roman"/>
          <w:color w:val="000000" w:themeColor="text1"/>
          <w:kern w:val="0"/>
          <w:sz w:val="24"/>
          <w:szCs w:val="24"/>
        </w:rPr>
        <w:t>纽约</w:t>
      </w:r>
      <w:r>
        <w:rPr>
          <w:rFonts w:ascii="楷体_GB2312" w:hAnsi="宋体" w:eastAsia="楷体_GB2312" w:cs="Times New Roman"/>
          <w:color w:val="000000" w:themeColor="text1"/>
          <w:kern w:val="0"/>
          <w:sz w:val="24"/>
          <w:szCs w:val="24"/>
        </w:rPr>
        <w:t>/纽约</w:t>
      </w:r>
      <w:bookmarkEnd w:id="254"/>
      <w:r>
        <w:rPr>
          <w:rFonts w:ascii="楷体_GB2312" w:hAnsi="宋体" w:eastAsia="楷体_GB2312" w:cs="Times New Roman"/>
          <w:color w:val="000000" w:themeColor="text1"/>
          <w:kern w:val="0"/>
          <w:sz w:val="24"/>
          <w:szCs w:val="24"/>
        </w:rPr>
        <w:t>企业学院”、“飞马良子企业学院”、“芯才科技产业学院”、“固锝企业学院”等。其中，“亨通企业学院”2022</w:t>
      </w:r>
      <w:r>
        <w:rPr>
          <w:rFonts w:hint="eastAsia" w:ascii="楷体_GB2312" w:hAnsi="宋体" w:eastAsia="楷体_GB2312" w:cs="Times New Roman"/>
          <w:color w:val="000000" w:themeColor="text1"/>
          <w:kern w:val="0"/>
          <w:sz w:val="24"/>
          <w:szCs w:val="24"/>
        </w:rPr>
        <w:t>年</w:t>
      </w:r>
      <w:r>
        <w:rPr>
          <w:rFonts w:ascii="楷体_GB2312" w:hAnsi="宋体" w:eastAsia="楷体_GB2312" w:cs="Times New Roman"/>
          <w:color w:val="000000" w:themeColor="text1"/>
          <w:kern w:val="0"/>
          <w:sz w:val="24"/>
          <w:szCs w:val="24"/>
        </w:rPr>
        <w:t>入选江苏省职业教育校企合作示范组合培育项目。依托“亨通企业学院”，校企共建了“高博开放创新实训平台”</w:t>
      </w:r>
      <w:r>
        <w:rPr>
          <w:rFonts w:hint="eastAsia" w:ascii="楷体_GB2312" w:hAnsi="宋体" w:eastAsia="楷体_GB2312" w:cs="Times New Roman"/>
          <w:color w:val="000000" w:themeColor="text1"/>
          <w:kern w:val="0"/>
          <w:sz w:val="24"/>
          <w:szCs w:val="24"/>
        </w:rPr>
        <w:t>，下设“国家信息安全水平考试授权考试中心”和软件技术、大数据技术、机器人技术、</w:t>
      </w:r>
      <w:r>
        <w:rPr>
          <w:rFonts w:ascii="楷体_GB2312" w:hAnsi="宋体" w:eastAsia="楷体_GB2312" w:cs="Times New Roman"/>
          <w:color w:val="000000" w:themeColor="text1"/>
          <w:kern w:val="0"/>
          <w:sz w:val="24"/>
          <w:szCs w:val="24"/>
        </w:rPr>
        <w:t>3D打印技术等工作室，</w:t>
      </w:r>
      <w:r>
        <w:rPr>
          <w:rFonts w:hint="eastAsia" w:ascii="楷体_GB2312" w:hAnsi="宋体" w:eastAsia="楷体_GB2312" w:cs="Times New Roman"/>
          <w:color w:val="000000" w:themeColor="text1"/>
          <w:kern w:val="0"/>
          <w:sz w:val="24"/>
          <w:szCs w:val="24"/>
        </w:rPr>
        <w:t>已</w:t>
      </w:r>
      <w:r>
        <w:rPr>
          <w:rFonts w:ascii="楷体_GB2312" w:hAnsi="宋体" w:eastAsia="楷体_GB2312" w:cs="Times New Roman"/>
          <w:color w:val="000000" w:themeColor="text1"/>
          <w:kern w:val="0"/>
          <w:sz w:val="24"/>
          <w:szCs w:val="24"/>
        </w:rPr>
        <w:t>培训教师150人次，学生680人次，完成横向项目5项，完成数据标注项目多项。入职的优秀毕业生章明飞同学任职营销中心总监，负责市场营销、订单交付和技术支持等部门，统筹前台业务</w:t>
      </w:r>
      <w:r>
        <w:rPr>
          <w:rFonts w:hint="eastAsia" w:ascii="楷体_GB2312" w:hAnsi="宋体" w:eastAsia="楷体_GB2312" w:cs="Times New Roman"/>
          <w:color w:val="000000" w:themeColor="text1"/>
          <w:kern w:val="0"/>
          <w:sz w:val="24"/>
          <w:szCs w:val="24"/>
        </w:rPr>
        <w:t>（见图</w:t>
      </w:r>
      <w:r>
        <w:rPr>
          <w:rFonts w:ascii="楷体_GB2312" w:hAnsi="宋体" w:eastAsia="楷体_GB2312" w:cs="Times New Roman"/>
          <w:color w:val="000000" w:themeColor="text1"/>
          <w:kern w:val="0"/>
          <w:sz w:val="24"/>
          <w:szCs w:val="24"/>
        </w:rPr>
        <w:t>3.8</w:t>
      </w:r>
      <w:r>
        <w:rPr>
          <w:rFonts w:hint="eastAsia" w:ascii="楷体_GB2312" w:hAnsi="宋体" w:eastAsia="楷体_GB2312" w:cs="Times New Roman"/>
          <w:color w:val="000000" w:themeColor="text1"/>
          <w:kern w:val="0"/>
          <w:sz w:val="24"/>
          <w:szCs w:val="24"/>
        </w:rPr>
        <w:t>）</w:t>
      </w:r>
      <w:r>
        <w:rPr>
          <w:rFonts w:ascii="楷体_GB2312" w:hAnsi="宋体" w:eastAsia="楷体_GB2312" w:cs="Times New Roman"/>
          <w:color w:val="000000" w:themeColor="text1"/>
          <w:kern w:val="0"/>
          <w:sz w:val="24"/>
          <w:szCs w:val="24"/>
        </w:rPr>
        <w:t>。 “飞马良子企业学院” 共建良子影视冠名班、工学结合定向班、共建的实习实训基地荣获苏州市吴中区十佳就业见习基地。已有85名学生参与实训实习，其中35位同学入职，</w:t>
      </w:r>
      <w:bookmarkStart w:id="255" w:name="_Hlk120861316"/>
      <w:r>
        <w:rPr>
          <w:rFonts w:ascii="楷体_GB2312" w:hAnsi="宋体" w:eastAsia="楷体_GB2312" w:cs="Times New Roman"/>
          <w:color w:val="000000" w:themeColor="text1"/>
          <w:kern w:val="0"/>
          <w:sz w:val="24"/>
          <w:szCs w:val="24"/>
        </w:rPr>
        <w:t>卢晓鸣同学</w:t>
      </w:r>
      <w:bookmarkEnd w:id="255"/>
      <w:r>
        <w:rPr>
          <w:rFonts w:ascii="楷体_GB2312" w:hAnsi="宋体" w:eastAsia="楷体_GB2312" w:cs="Times New Roman"/>
          <w:color w:val="000000" w:themeColor="text1"/>
          <w:kern w:val="0"/>
          <w:sz w:val="24"/>
          <w:szCs w:val="24"/>
        </w:rPr>
        <w:t>已担任企业动画技术总监，获得行业高度认可</w:t>
      </w:r>
      <w:r>
        <w:rPr>
          <w:rFonts w:hint="eastAsia" w:ascii="楷体_GB2312" w:hAnsi="宋体" w:eastAsia="楷体_GB2312" w:cs="Times New Roman"/>
          <w:color w:val="000000" w:themeColor="text1"/>
          <w:kern w:val="0"/>
          <w:sz w:val="24"/>
          <w:szCs w:val="24"/>
        </w:rPr>
        <w:t>（见图</w:t>
      </w:r>
      <w:r>
        <w:rPr>
          <w:rFonts w:ascii="楷体_GB2312" w:hAnsi="宋体" w:eastAsia="楷体_GB2312" w:cs="Times New Roman"/>
          <w:color w:val="000000" w:themeColor="text1"/>
          <w:kern w:val="0"/>
          <w:sz w:val="24"/>
          <w:szCs w:val="24"/>
        </w:rPr>
        <w:t>3.9</w:t>
      </w:r>
      <w:r>
        <w:rPr>
          <w:rFonts w:hint="eastAsia" w:ascii="楷体_GB2312" w:hAnsi="宋体" w:eastAsia="楷体_GB2312" w:cs="Times New Roman"/>
          <w:color w:val="000000" w:themeColor="text1"/>
          <w:kern w:val="0"/>
          <w:sz w:val="24"/>
          <w:szCs w:val="24"/>
        </w:rPr>
        <w:t>）</w:t>
      </w:r>
      <w:r>
        <w:rPr>
          <w:rFonts w:ascii="楷体_GB2312" w:hAnsi="宋体" w:eastAsia="楷体_GB2312" w:cs="Times New Roman"/>
          <w:color w:val="000000" w:themeColor="text1"/>
          <w:kern w:val="0"/>
          <w:sz w:val="24"/>
          <w:szCs w:val="24"/>
        </w:rPr>
        <w:t>。学院定期邀请企业粱奎总监参</w:t>
      </w:r>
      <w:r>
        <w:rPr>
          <w:rFonts w:hint="eastAsia" w:ascii="楷体_GB2312" w:hAnsi="宋体" w:eastAsia="楷体_GB2312" w:cs="Times New Roman"/>
          <w:color w:val="000000" w:themeColor="text1"/>
          <w:kern w:val="0"/>
          <w:sz w:val="24"/>
          <w:szCs w:val="24"/>
        </w:rPr>
        <w:t>与指导动画项目创作和学生创新创业工作。同纽约</w:t>
      </w:r>
      <w:r>
        <w:rPr>
          <w:rFonts w:ascii="楷体_GB2312" w:hAnsi="宋体" w:eastAsia="楷体_GB2312" w:cs="Times New Roman"/>
          <w:color w:val="000000" w:themeColor="text1"/>
          <w:kern w:val="0"/>
          <w:sz w:val="24"/>
          <w:szCs w:val="24"/>
        </w:rPr>
        <w:t>/纽约</w:t>
      </w:r>
      <w:r>
        <w:rPr>
          <w:rFonts w:hint="eastAsia" w:ascii="楷体_GB2312" w:hAnsi="宋体" w:eastAsia="楷体_GB2312" w:cs="Times New Roman"/>
          <w:color w:val="000000" w:themeColor="text1"/>
          <w:kern w:val="0"/>
          <w:sz w:val="24"/>
          <w:szCs w:val="24"/>
        </w:rPr>
        <w:t>企业联合申报的《生态教育理念下高职艺术设计类专业人才培养模式的创新与实践》项目获得苏州市教育教学成果奖。</w:t>
      </w:r>
    </w:p>
    <w:p>
      <w:pPr>
        <w:ind w:firstLine="420" w:firstLineChars="200"/>
        <w:jc w:val="center"/>
        <w:rPr>
          <w:rFonts w:ascii="楷体_GB2312" w:hAnsi="宋体" w:eastAsia="楷体_GB2312" w:cs="Times New Roman"/>
          <w:color w:val="000000" w:themeColor="text1"/>
          <w:kern w:val="0"/>
          <w:sz w:val="24"/>
          <w:szCs w:val="24"/>
        </w:rPr>
      </w:pPr>
      <w:r>
        <w:drawing>
          <wp:inline distT="0" distB="0" distL="0" distR="0">
            <wp:extent cx="2867025" cy="1611630"/>
            <wp:effectExtent l="0" t="0" r="9525" b="762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2883542" cy="1620907"/>
                    </a:xfrm>
                    <a:prstGeom prst="rect">
                      <a:avLst/>
                    </a:prstGeom>
                    <a:noFill/>
                    <a:ln>
                      <a:noFill/>
                    </a:ln>
                  </pic:spPr>
                </pic:pic>
              </a:graphicData>
            </a:graphic>
          </wp:inline>
        </w:drawing>
      </w:r>
    </w:p>
    <w:p>
      <w:pPr>
        <w:widowControl/>
        <w:spacing w:after="156" w:afterLines="50" w:line="360" w:lineRule="auto"/>
        <w:jc w:val="center"/>
        <w:rPr>
          <w:rFonts w:ascii="仿宋_GB2312" w:eastAsia="仿宋_GB2312"/>
          <w:b/>
          <w:sz w:val="24"/>
          <w:szCs w:val="24"/>
        </w:rPr>
      </w:pPr>
      <w:bookmarkStart w:id="256" w:name="_Toc124169703"/>
      <w:bookmarkStart w:id="257" w:name="_Hlk121993178"/>
      <w:r>
        <w:rPr>
          <w:rFonts w:hint="eastAsia" w:ascii="仿宋_GB2312" w:eastAsia="仿宋_GB2312"/>
          <w:b/>
          <w:sz w:val="24"/>
          <w:szCs w:val="24"/>
        </w:rPr>
        <w:t xml:space="preserve">图3. </w:t>
      </w:r>
      <w:r>
        <w:rPr>
          <w:rFonts w:ascii="仿宋_GB2312" w:eastAsia="仿宋_GB2312"/>
          <w:b/>
          <w:sz w:val="24"/>
          <w:szCs w:val="24"/>
        </w:rPr>
        <w:fldChar w:fldCharType="begin"/>
      </w:r>
      <w:r>
        <w:rPr>
          <w:rFonts w:ascii="仿宋_GB2312" w:eastAsia="仿宋_GB2312"/>
          <w:b/>
          <w:sz w:val="24"/>
          <w:szCs w:val="24"/>
        </w:rPr>
        <w:instrText xml:space="preserve"> </w:instrText>
      </w:r>
      <w:r>
        <w:rPr>
          <w:rFonts w:hint="eastAsia" w:ascii="仿宋_GB2312" w:eastAsia="仿宋_GB2312"/>
          <w:b/>
          <w:sz w:val="24"/>
          <w:szCs w:val="24"/>
        </w:rPr>
        <w:instrText xml:space="preserve">SEQ 图3. \* ARABIC</w:instrText>
      </w:r>
      <w:r>
        <w:rPr>
          <w:rFonts w:ascii="仿宋_GB2312" w:eastAsia="仿宋_GB2312"/>
          <w:b/>
          <w:sz w:val="24"/>
          <w:szCs w:val="24"/>
        </w:rPr>
        <w:instrText xml:space="preserve"> </w:instrText>
      </w:r>
      <w:r>
        <w:rPr>
          <w:rFonts w:ascii="仿宋_GB2312" w:eastAsia="仿宋_GB2312"/>
          <w:b/>
          <w:sz w:val="24"/>
          <w:szCs w:val="24"/>
        </w:rPr>
        <w:fldChar w:fldCharType="separate"/>
      </w:r>
      <w:r>
        <w:rPr>
          <w:rFonts w:ascii="仿宋_GB2312" w:eastAsia="仿宋_GB2312"/>
          <w:b/>
          <w:sz w:val="24"/>
          <w:szCs w:val="24"/>
        </w:rPr>
        <w:t>8</w:t>
      </w:r>
      <w:r>
        <w:rPr>
          <w:rFonts w:ascii="仿宋_GB2312" w:eastAsia="仿宋_GB2312"/>
          <w:b/>
          <w:sz w:val="24"/>
          <w:szCs w:val="24"/>
        </w:rPr>
        <w:fldChar w:fldCharType="end"/>
      </w:r>
      <w:r>
        <w:rPr>
          <w:rFonts w:ascii="仿宋_GB2312" w:eastAsia="仿宋_GB2312"/>
          <w:b/>
          <w:sz w:val="24"/>
          <w:szCs w:val="24"/>
        </w:rPr>
        <w:t xml:space="preserve"> “</w:t>
      </w:r>
      <w:r>
        <w:rPr>
          <w:rFonts w:hint="eastAsia" w:ascii="仿宋_GB2312" w:eastAsia="仿宋_GB2312"/>
          <w:b/>
          <w:sz w:val="24"/>
          <w:szCs w:val="24"/>
        </w:rPr>
        <w:t>亨通企业学院</w:t>
      </w:r>
      <w:r>
        <w:rPr>
          <w:rFonts w:ascii="仿宋_GB2312" w:eastAsia="仿宋_GB2312"/>
          <w:b/>
          <w:sz w:val="24"/>
          <w:szCs w:val="24"/>
        </w:rPr>
        <w:t>”</w:t>
      </w:r>
      <w:r>
        <w:rPr>
          <w:rFonts w:hint="eastAsia" w:ascii="仿宋_GB2312" w:eastAsia="仿宋_GB2312"/>
          <w:b/>
          <w:sz w:val="24"/>
          <w:szCs w:val="24"/>
        </w:rPr>
        <w:t>召开项目研讨会</w:t>
      </w:r>
      <w:bookmarkEnd w:id="256"/>
    </w:p>
    <w:bookmarkEnd w:id="257"/>
    <w:p>
      <w:pPr>
        <w:pStyle w:val="6"/>
        <w:numPr>
          <w:ilvl w:val="0"/>
          <w:numId w:val="0"/>
        </w:numPr>
        <w:ind w:left="420"/>
        <w:jc w:val="left"/>
      </w:pPr>
    </w:p>
    <w:p>
      <w:pPr>
        <w:pStyle w:val="6"/>
        <w:numPr>
          <w:ilvl w:val="0"/>
          <w:numId w:val="0"/>
        </w:numPr>
        <w:ind w:left="420"/>
        <w:jc w:val="left"/>
      </w:pPr>
    </w:p>
    <w:p>
      <w:pPr>
        <w:pStyle w:val="6"/>
        <w:numPr>
          <w:ilvl w:val="0"/>
          <w:numId w:val="0"/>
        </w:numPr>
        <w:ind w:left="420"/>
        <w:jc w:val="center"/>
      </w:pPr>
      <w:r>
        <w:drawing>
          <wp:inline distT="0" distB="0" distL="0" distR="0">
            <wp:extent cx="2936240" cy="1957705"/>
            <wp:effectExtent l="0" t="0" r="0" b="444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945346" cy="1963446"/>
                    </a:xfrm>
                    <a:prstGeom prst="rect">
                      <a:avLst/>
                    </a:prstGeom>
                    <a:noFill/>
                    <a:ln>
                      <a:noFill/>
                    </a:ln>
                  </pic:spPr>
                </pic:pic>
              </a:graphicData>
            </a:graphic>
          </wp:inline>
        </w:drawing>
      </w:r>
    </w:p>
    <w:p>
      <w:pPr>
        <w:widowControl/>
        <w:spacing w:after="156" w:afterLines="50" w:line="360" w:lineRule="auto"/>
        <w:jc w:val="center"/>
        <w:rPr>
          <w:rFonts w:ascii="仿宋_GB2312" w:eastAsia="仿宋_GB2312"/>
          <w:b/>
          <w:sz w:val="24"/>
          <w:szCs w:val="24"/>
        </w:rPr>
      </w:pPr>
      <w:r>
        <w:rPr>
          <w:rFonts w:hint="eastAsia"/>
        </w:rPr>
        <w:t xml:space="preserve"> </w:t>
      </w:r>
      <w:r>
        <w:t xml:space="preserve">                 </w:t>
      </w:r>
      <w:bookmarkStart w:id="258" w:name="_Toc124169704"/>
      <w:r>
        <w:rPr>
          <w:rFonts w:hint="eastAsia" w:ascii="仿宋_GB2312" w:eastAsia="仿宋_GB2312"/>
          <w:b/>
          <w:sz w:val="24"/>
          <w:szCs w:val="24"/>
        </w:rPr>
        <w:t>图</w:t>
      </w:r>
      <w:bookmarkStart w:id="259" w:name="_Hlk124258318"/>
      <w:r>
        <w:rPr>
          <w:rFonts w:hint="eastAsia" w:ascii="仿宋_GB2312" w:eastAsia="仿宋_GB2312"/>
          <w:b/>
          <w:sz w:val="24"/>
          <w:szCs w:val="24"/>
        </w:rPr>
        <w:t xml:space="preserve">3. </w:t>
      </w:r>
      <w:r>
        <w:rPr>
          <w:rFonts w:ascii="仿宋_GB2312" w:eastAsia="仿宋_GB2312"/>
          <w:b/>
          <w:sz w:val="24"/>
          <w:szCs w:val="24"/>
        </w:rPr>
        <w:fldChar w:fldCharType="begin"/>
      </w:r>
      <w:r>
        <w:rPr>
          <w:rFonts w:ascii="仿宋_GB2312" w:eastAsia="仿宋_GB2312"/>
          <w:b/>
          <w:sz w:val="24"/>
          <w:szCs w:val="24"/>
        </w:rPr>
        <w:instrText xml:space="preserve"> </w:instrText>
      </w:r>
      <w:r>
        <w:rPr>
          <w:rFonts w:hint="eastAsia" w:ascii="仿宋_GB2312" w:eastAsia="仿宋_GB2312"/>
          <w:b/>
          <w:sz w:val="24"/>
          <w:szCs w:val="24"/>
        </w:rPr>
        <w:instrText xml:space="preserve">SEQ 图3. \* ARABIC</w:instrText>
      </w:r>
      <w:r>
        <w:rPr>
          <w:rFonts w:ascii="仿宋_GB2312" w:eastAsia="仿宋_GB2312"/>
          <w:b/>
          <w:sz w:val="24"/>
          <w:szCs w:val="24"/>
        </w:rPr>
        <w:instrText xml:space="preserve"> </w:instrText>
      </w:r>
      <w:r>
        <w:rPr>
          <w:rFonts w:ascii="仿宋_GB2312" w:eastAsia="仿宋_GB2312"/>
          <w:b/>
          <w:sz w:val="24"/>
          <w:szCs w:val="24"/>
        </w:rPr>
        <w:fldChar w:fldCharType="separate"/>
      </w:r>
      <w:r>
        <w:rPr>
          <w:rFonts w:ascii="仿宋_GB2312" w:eastAsia="仿宋_GB2312"/>
          <w:b/>
          <w:sz w:val="24"/>
          <w:szCs w:val="24"/>
        </w:rPr>
        <w:t>9</w:t>
      </w:r>
      <w:r>
        <w:rPr>
          <w:rFonts w:ascii="仿宋_GB2312" w:eastAsia="仿宋_GB2312"/>
          <w:b/>
          <w:sz w:val="24"/>
          <w:szCs w:val="24"/>
        </w:rPr>
        <w:fldChar w:fldCharType="end"/>
      </w:r>
      <w:bookmarkEnd w:id="259"/>
      <w:r>
        <w:rPr>
          <w:rFonts w:ascii="仿宋_GB2312" w:eastAsia="仿宋_GB2312"/>
          <w:b/>
          <w:sz w:val="24"/>
          <w:szCs w:val="24"/>
        </w:rPr>
        <w:t xml:space="preserve"> “</w:t>
      </w:r>
      <w:r>
        <w:rPr>
          <w:rFonts w:hint="eastAsia" w:ascii="仿宋_GB2312" w:eastAsia="仿宋_GB2312"/>
          <w:b/>
          <w:sz w:val="24"/>
          <w:szCs w:val="24"/>
        </w:rPr>
        <w:t>飞马良子企业学院</w:t>
      </w:r>
      <w:r>
        <w:rPr>
          <w:rFonts w:ascii="仿宋_GB2312" w:eastAsia="仿宋_GB2312"/>
          <w:b/>
          <w:sz w:val="24"/>
          <w:szCs w:val="24"/>
        </w:rPr>
        <w:t>”</w:t>
      </w:r>
      <w:r>
        <w:rPr>
          <w:rFonts w:hint="eastAsia" w:ascii="仿宋_GB2312" w:eastAsia="仿宋_GB2312"/>
          <w:b/>
          <w:sz w:val="24"/>
          <w:szCs w:val="24"/>
        </w:rPr>
        <w:t>揭牌仪式</w:t>
      </w:r>
      <w:bookmarkEnd w:id="258"/>
    </w:p>
    <w:bookmarkEnd w:id="250"/>
    <w:bookmarkEnd w:id="251"/>
    <w:bookmarkEnd w:id="252"/>
    <w:p>
      <w:pPr>
        <w:adjustRightInd w:val="0"/>
        <w:snapToGrid w:val="0"/>
        <w:spacing w:line="360" w:lineRule="auto"/>
        <w:ind w:firstLine="560" w:firstLineChars="200"/>
        <w:rPr>
          <w:rFonts w:ascii="仿宋" w:hAnsi="仿宋" w:eastAsia="仿宋"/>
          <w:sz w:val="28"/>
          <w:szCs w:val="28"/>
        </w:rPr>
      </w:pPr>
    </w:p>
    <w:p>
      <w:pPr>
        <w:pStyle w:val="3"/>
        <w:spacing w:before="0" w:after="0" w:line="360" w:lineRule="auto"/>
        <w:ind w:firstLine="562" w:firstLineChars="200"/>
        <w:rPr>
          <w:rFonts w:ascii="仿宋_GB2312" w:eastAsia="仿宋_GB2312" w:hAnsiTheme="minorEastAsia"/>
          <w:sz w:val="28"/>
          <w:szCs w:val="28"/>
        </w:rPr>
      </w:pPr>
      <w:bookmarkStart w:id="260" w:name="_Toc124087903"/>
      <w:r>
        <w:rPr>
          <w:rFonts w:hint="eastAsia" w:ascii="仿宋_GB2312" w:eastAsia="仿宋_GB2312" w:hAnsiTheme="minorEastAsia"/>
          <w:sz w:val="28"/>
          <w:szCs w:val="28"/>
        </w:rPr>
        <w:t>3</w:t>
      </w:r>
      <w:r>
        <w:rPr>
          <w:rFonts w:ascii="仿宋_GB2312" w:eastAsia="仿宋_GB2312" w:hAnsiTheme="minorEastAsia"/>
          <w:sz w:val="28"/>
          <w:szCs w:val="28"/>
        </w:rPr>
        <w:t>.</w:t>
      </w:r>
      <w:bookmarkEnd w:id="220"/>
      <w:bookmarkEnd w:id="221"/>
      <w:r>
        <w:rPr>
          <w:rFonts w:ascii="仿宋_GB2312" w:eastAsia="仿宋_GB2312" w:hAnsiTheme="minorEastAsia"/>
          <w:sz w:val="28"/>
          <w:szCs w:val="28"/>
        </w:rPr>
        <w:t>4</w:t>
      </w:r>
      <w:r>
        <w:rPr>
          <w:rFonts w:hint="eastAsia" w:ascii="仿宋_GB2312" w:eastAsia="仿宋_GB2312" w:hAnsiTheme="minorEastAsia"/>
          <w:sz w:val="28"/>
          <w:szCs w:val="28"/>
        </w:rPr>
        <w:t>质量管理</w:t>
      </w:r>
      <w:bookmarkEnd w:id="222"/>
      <w:bookmarkEnd w:id="260"/>
    </w:p>
    <w:p>
      <w:pPr>
        <w:adjustRightInd w:val="0"/>
        <w:snapToGrid w:val="0"/>
        <w:spacing w:line="360" w:lineRule="auto"/>
        <w:ind w:firstLine="560" w:firstLineChars="200"/>
        <w:rPr>
          <w:rFonts w:ascii="仿宋" w:hAnsi="仿宋" w:eastAsia="仿宋"/>
          <w:sz w:val="28"/>
          <w:szCs w:val="28"/>
        </w:rPr>
      </w:pPr>
      <w:bookmarkStart w:id="261" w:name="_Toc500492319"/>
      <w:bookmarkStart w:id="262" w:name="_Toc532826574"/>
      <w:r>
        <w:rPr>
          <w:rFonts w:hint="eastAsia" w:ascii="仿宋" w:hAnsi="仿宋" w:eastAsia="仿宋"/>
          <w:sz w:val="28"/>
          <w:szCs w:val="28"/>
        </w:rPr>
        <w:t>该校高质量发展和管理的基本方略为：控规模、上质量和创特色。根据学校转型发展和重心下移的管理要求，本学年继续推进以二级学院为主体的教学质量保障体系建设，继续</w:t>
      </w:r>
      <w:bookmarkStart w:id="263" w:name="_Hlk121985838"/>
      <w:r>
        <w:rPr>
          <w:rFonts w:hint="eastAsia" w:ascii="仿宋" w:hAnsi="仿宋" w:eastAsia="仿宋"/>
          <w:sz w:val="28"/>
          <w:szCs w:val="28"/>
        </w:rPr>
        <w:t>推动 “校院结合、督导为主、教督融合”的教学质量管理运行机制与模式</w:t>
      </w:r>
      <w:bookmarkEnd w:id="263"/>
      <w:r>
        <w:rPr>
          <w:rFonts w:hint="eastAsia" w:ascii="仿宋" w:hAnsi="仿宋" w:eastAsia="仿宋"/>
          <w:sz w:val="28"/>
          <w:szCs w:val="28"/>
        </w:rPr>
        <w:t>。不断强化二级学院的教学质量管理的主体作用。首先根据校情与学情，健全并进一步强化督导队伍建设，构建由学校一级督导和二级学院督导组构成的教学质量管理体系，并根据人员变动情况及时调整，保证组织建设健全到位，不留漏洞；第二，督导队伍管理持续优化，学校督导室及其一级督导和各二级学院二级督导组在教学运行质量管理任务各有侧重，密切配合，消除盲点。运行上，一级督导由督导室管理；按照学校的学年及学期任务要求，具体二级督导职能由各二级学院的督导组自主管理，运行过程中的重要环节和关键要素等必检材料必须在学校督导室报备；第三，管理方法上，完善制度，创新思路，一方面推进内部教学质量自我诊断改进的思想持续向二级学院深入，调动质量主体的工作自主与积极性；另一方面，同教务管理职能无缝链接，从发现解决问题入手，杜绝教学运行的漏洞，填补质量管理的空白，推进该校教学质量管理的不断进步；督导听课继续创新推进“教师免听课制度”。第四，管理要求上，推进有效课堂，聚焦教学质量</w:t>
      </w:r>
      <w:r>
        <w:rPr>
          <w:rFonts w:ascii="仿宋" w:hAnsi="仿宋" w:eastAsia="仿宋"/>
          <w:sz w:val="28"/>
          <w:szCs w:val="28"/>
        </w:rPr>
        <w:t>内涵建设</w:t>
      </w:r>
      <w:r>
        <w:rPr>
          <w:rFonts w:hint="eastAsia" w:ascii="仿宋" w:hAnsi="仿宋" w:eastAsia="仿宋"/>
          <w:sz w:val="28"/>
          <w:szCs w:val="28"/>
        </w:rPr>
        <w:t>，明确督导工作及督导听课评教的重点、难点和弱点，高度关注并持续改进新进教师授课、在岗教师讲授新课、专业综合实训课程授课和校内外兼职或兼课教师授课等常规督导内容。学校督导室组织一级督导做好期末试卷、毕业论文（设计）等重要教学环节和关键要素的专项督导检查。</w:t>
      </w:r>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本学年的主要教学质量管理工作：（1）在制度建设方面出台了该校“专业教研室及教学团队集体备课制度”、“高博特色课程建设指导意见（试行）”；修订了“苏州高博软件技术职业学院线上教学督导督查意见和“苏州高博软件技术职业学院学生实习管理办法”等。（2）继续推进三期教学检查制度，紧抓期末考试环节管理、督导通报和二级学院自主诊改不放松，实现发现问题、探究原因、自查诊改，循环推进的全过程。在期初、期中、期末三期教学检查中，在常规督导听课评教活动中，在教学运行的关键要素或环节上下功夫。如期末考试、毕业设计、顶岗实习等专项督导中，按照“常规运行中发现问题，发展进程中捕捉问题”的原则，同教务管理密切融合，推动问题的快速发现。（</w:t>
      </w:r>
      <w:r>
        <w:rPr>
          <w:rFonts w:ascii="仿宋" w:hAnsi="仿宋" w:eastAsia="仿宋"/>
          <w:sz w:val="28"/>
          <w:szCs w:val="28"/>
        </w:rPr>
        <w:t>3</w:t>
      </w:r>
      <w:r>
        <w:rPr>
          <w:rFonts w:hint="eastAsia" w:ascii="仿宋" w:hAnsi="仿宋" w:eastAsia="仿宋"/>
          <w:sz w:val="28"/>
          <w:szCs w:val="28"/>
        </w:rPr>
        <w:t>）紧抓教学质量管理的系统性和关键点做实工作，力求实效。聚焦“毕业班专业综合实训课程”、“期末试卷抽查” “毕业班顶岗实习检查”、“毕业设计（论文）抽查”等多类专项督导活动，实现 “以导为主，以导促督”的质量管理，先后发布</w:t>
      </w:r>
      <w:r>
        <w:rPr>
          <w:rFonts w:ascii="仿宋" w:hAnsi="仿宋" w:eastAsia="仿宋"/>
          <w:sz w:val="28"/>
          <w:szCs w:val="28"/>
        </w:rPr>
        <w:t>2020-2021学年第二学期线下课堂教学督导总结通报</w:t>
      </w:r>
      <w:r>
        <w:rPr>
          <w:rFonts w:hint="eastAsia" w:ascii="仿宋" w:hAnsi="仿宋" w:eastAsia="仿宋"/>
          <w:sz w:val="28"/>
          <w:szCs w:val="28"/>
        </w:rPr>
        <w:t>、</w:t>
      </w:r>
      <w:r>
        <w:rPr>
          <w:rFonts w:ascii="仿宋" w:hAnsi="仿宋" w:eastAsia="仿宋"/>
          <w:sz w:val="28"/>
          <w:szCs w:val="28"/>
        </w:rPr>
        <w:t>2020-2021学年第二学期期末试卷抽查通报</w:t>
      </w:r>
      <w:r>
        <w:rPr>
          <w:rFonts w:hint="eastAsia" w:ascii="仿宋" w:hAnsi="仿宋" w:eastAsia="仿宋"/>
          <w:sz w:val="28"/>
          <w:szCs w:val="28"/>
        </w:rPr>
        <w:t>、</w:t>
      </w:r>
      <w:r>
        <w:rPr>
          <w:rFonts w:ascii="仿宋" w:hAnsi="仿宋" w:eastAsia="仿宋"/>
          <w:sz w:val="28"/>
          <w:szCs w:val="28"/>
        </w:rPr>
        <w:t>2021-2022学年第一学期线上教学督查情况通报（第1-3周）</w:t>
      </w:r>
      <w:r>
        <w:rPr>
          <w:rFonts w:hint="eastAsia" w:ascii="仿宋" w:hAnsi="仿宋" w:eastAsia="仿宋"/>
          <w:sz w:val="28"/>
          <w:szCs w:val="28"/>
        </w:rPr>
        <w:t>、</w:t>
      </w:r>
      <w:r>
        <w:rPr>
          <w:rFonts w:ascii="仿宋" w:hAnsi="仿宋" w:eastAsia="仿宋"/>
          <w:sz w:val="28"/>
          <w:szCs w:val="28"/>
        </w:rPr>
        <w:t>2021-2022学年第一学期期中教学检查通报</w:t>
      </w:r>
      <w:r>
        <w:rPr>
          <w:rFonts w:hint="eastAsia" w:ascii="仿宋" w:hAnsi="仿宋" w:eastAsia="仿宋"/>
          <w:sz w:val="28"/>
          <w:szCs w:val="28"/>
        </w:rPr>
        <w:t>、</w:t>
      </w:r>
      <w:r>
        <w:rPr>
          <w:rFonts w:ascii="仿宋" w:hAnsi="仿宋" w:eastAsia="仿宋"/>
          <w:sz w:val="28"/>
          <w:szCs w:val="28"/>
        </w:rPr>
        <w:t>2021-2022学年第一学期线下课堂教学督导通报</w:t>
      </w:r>
      <w:r>
        <w:rPr>
          <w:rFonts w:hint="eastAsia" w:ascii="仿宋" w:hAnsi="仿宋" w:eastAsia="仿宋"/>
          <w:sz w:val="28"/>
          <w:szCs w:val="28"/>
        </w:rPr>
        <w:t>、</w:t>
      </w:r>
      <w:r>
        <w:rPr>
          <w:rFonts w:ascii="仿宋" w:hAnsi="仿宋" w:eastAsia="仿宋"/>
          <w:sz w:val="28"/>
          <w:szCs w:val="28"/>
        </w:rPr>
        <w:t>2021-2022学年第一学期期末试卷与教学资料检查通报</w:t>
      </w:r>
      <w:r>
        <w:rPr>
          <w:rFonts w:hint="eastAsia" w:ascii="仿宋" w:hAnsi="仿宋" w:eastAsia="仿宋"/>
          <w:sz w:val="28"/>
          <w:szCs w:val="28"/>
        </w:rPr>
        <w:t>、</w:t>
      </w:r>
      <w:r>
        <w:rPr>
          <w:rFonts w:ascii="仿宋" w:hAnsi="仿宋" w:eastAsia="仿宋"/>
          <w:sz w:val="28"/>
          <w:szCs w:val="28"/>
        </w:rPr>
        <w:t>2022届毕业论文（设计）检查通报</w:t>
      </w:r>
      <w:r>
        <w:rPr>
          <w:rFonts w:hint="eastAsia" w:ascii="仿宋" w:hAnsi="仿宋" w:eastAsia="仿宋"/>
          <w:sz w:val="28"/>
          <w:szCs w:val="28"/>
        </w:rPr>
        <w:t>、</w:t>
      </w:r>
      <w:r>
        <w:rPr>
          <w:rFonts w:ascii="仿宋" w:hAnsi="仿宋" w:eastAsia="仿宋"/>
          <w:sz w:val="28"/>
          <w:szCs w:val="28"/>
        </w:rPr>
        <w:t>2021-2022-2学期期末在线考试及补考通报</w:t>
      </w:r>
      <w:r>
        <w:rPr>
          <w:rFonts w:hint="eastAsia" w:ascii="仿宋" w:hAnsi="仿宋" w:eastAsia="仿宋"/>
          <w:sz w:val="28"/>
          <w:szCs w:val="28"/>
        </w:rPr>
        <w:t>、</w:t>
      </w:r>
      <w:r>
        <w:rPr>
          <w:rFonts w:ascii="仿宋" w:hAnsi="仿宋" w:eastAsia="仿宋"/>
          <w:sz w:val="28"/>
          <w:szCs w:val="28"/>
        </w:rPr>
        <w:t>2021-2022学年第二学期教师课程教学包抽查报告</w:t>
      </w:r>
      <w:r>
        <w:rPr>
          <w:rFonts w:hint="eastAsia" w:ascii="仿宋" w:hAnsi="仿宋" w:eastAsia="仿宋"/>
          <w:sz w:val="28"/>
          <w:szCs w:val="28"/>
        </w:rPr>
        <w:t>等9项教学督导督查材料。突出关键要素，强化过程管理。（</w:t>
      </w:r>
      <w:r>
        <w:rPr>
          <w:rFonts w:ascii="仿宋" w:hAnsi="仿宋" w:eastAsia="仿宋"/>
          <w:sz w:val="28"/>
          <w:szCs w:val="28"/>
        </w:rPr>
        <w:t>4</w:t>
      </w:r>
      <w:r>
        <w:rPr>
          <w:rFonts w:hint="eastAsia" w:ascii="仿宋" w:hAnsi="仿宋" w:eastAsia="仿宋"/>
          <w:sz w:val="28"/>
          <w:szCs w:val="28"/>
        </w:rPr>
        <w:t>）</w:t>
      </w:r>
      <w:bookmarkEnd w:id="261"/>
      <w:bookmarkEnd w:id="262"/>
      <w:r>
        <w:rPr>
          <w:rFonts w:hint="eastAsia" w:ascii="仿宋" w:hAnsi="仿宋" w:eastAsia="仿宋"/>
          <w:sz w:val="28"/>
          <w:szCs w:val="28"/>
        </w:rPr>
        <w:t>围绕质量监控和督导查课评课中的突出问题和共性问题，以一学期为周期，召开了两次学期督导工作会议，汇报工作，研讨问题，形成方案，布置并落实工作任务。质量管理，坚持“根据学情实际，从基本规范入手，推进管理；坚守规范，从解决问题入手，杜绝漏洞；突出特色，从创新积累立足，持续聚焦。”推动“职能融合，建设教学质量管理共同体；工作激励，调动质量主体的工作自主与积极”，促进校院两级自主诊断形成机制和良好习惯。持续推进学校督导工作机制改革，完善督导组织建设，创新督导管理手段，优化督导工作流程，形成良好的教学质量监控运行机制；探索在二级学院内部诊改基础上，借助各二级学院专业建设深化的课程系统改进优化基础上开展常规课程评价指标的细化研究，探索质量评价指标的个性化和专业性。（5）召开</w:t>
      </w:r>
      <w:r>
        <w:rPr>
          <w:rFonts w:ascii="仿宋" w:hAnsi="仿宋" w:eastAsia="仿宋"/>
          <w:sz w:val="28"/>
          <w:szCs w:val="28"/>
        </w:rPr>
        <w:t>教学质量</w:t>
      </w:r>
      <w:r>
        <w:rPr>
          <w:rFonts w:hint="eastAsia" w:ascii="仿宋" w:hAnsi="仿宋" w:eastAsia="仿宋"/>
          <w:sz w:val="28"/>
          <w:szCs w:val="28"/>
        </w:rPr>
        <w:t>主题</w:t>
      </w:r>
      <w:r>
        <w:rPr>
          <w:rFonts w:ascii="仿宋" w:hAnsi="仿宋" w:eastAsia="仿宋"/>
          <w:sz w:val="28"/>
          <w:szCs w:val="28"/>
        </w:rPr>
        <w:t>研讨会</w:t>
      </w:r>
      <w:r>
        <w:rPr>
          <w:rFonts w:hint="eastAsia" w:ascii="仿宋" w:hAnsi="仿宋" w:eastAsia="仿宋"/>
          <w:sz w:val="28"/>
          <w:szCs w:val="28"/>
        </w:rPr>
        <w:t>，</w:t>
      </w:r>
      <w:r>
        <w:rPr>
          <w:rFonts w:ascii="仿宋" w:hAnsi="仿宋" w:eastAsia="仿宋"/>
          <w:sz w:val="28"/>
          <w:szCs w:val="28"/>
        </w:rPr>
        <w:t>围绕如何更好发挥特聘教授的作用，建立该校特色教学质量制度体系，并就进一步明确该校教学督导工作质量的监控定位</w:t>
      </w:r>
      <w:r>
        <w:rPr>
          <w:rFonts w:hint="eastAsia" w:ascii="仿宋" w:hAnsi="仿宋" w:eastAsia="仿宋"/>
          <w:sz w:val="28"/>
          <w:szCs w:val="28"/>
        </w:rPr>
        <w:t>等方面</w:t>
      </w:r>
      <w:r>
        <w:rPr>
          <w:rFonts w:ascii="仿宋" w:hAnsi="仿宋" w:eastAsia="仿宋"/>
          <w:sz w:val="28"/>
          <w:szCs w:val="28"/>
        </w:rPr>
        <w:t>开展交流研讨</w:t>
      </w:r>
      <w:r>
        <w:rPr>
          <w:rFonts w:hint="eastAsia" w:ascii="仿宋" w:hAnsi="仿宋" w:eastAsia="仿宋"/>
          <w:sz w:val="28"/>
          <w:szCs w:val="28"/>
        </w:rPr>
        <w:t>，形成了包括</w:t>
      </w:r>
      <w:r>
        <w:rPr>
          <w:rFonts w:ascii="仿宋" w:hAnsi="仿宋" w:eastAsia="仿宋"/>
          <w:sz w:val="28"/>
          <w:szCs w:val="28"/>
        </w:rPr>
        <w:t>有效开发并充分利用好教学资源</w:t>
      </w:r>
      <w:r>
        <w:rPr>
          <w:rFonts w:hint="eastAsia" w:ascii="仿宋" w:hAnsi="仿宋" w:eastAsia="仿宋"/>
          <w:sz w:val="28"/>
          <w:szCs w:val="28"/>
        </w:rPr>
        <w:t>、强化质量管理，扩大该校社会影响等内容的</w:t>
      </w:r>
      <w:r>
        <w:rPr>
          <w:rFonts w:ascii="仿宋" w:hAnsi="仿宋" w:eastAsia="仿宋"/>
          <w:sz w:val="28"/>
          <w:szCs w:val="28"/>
        </w:rPr>
        <w:t>许多</w:t>
      </w:r>
      <w:r>
        <w:rPr>
          <w:rFonts w:hint="eastAsia" w:ascii="仿宋" w:hAnsi="仿宋" w:eastAsia="仿宋"/>
          <w:sz w:val="28"/>
          <w:szCs w:val="28"/>
        </w:rPr>
        <w:t>良好</w:t>
      </w:r>
      <w:r>
        <w:rPr>
          <w:rFonts w:ascii="仿宋" w:hAnsi="仿宋" w:eastAsia="仿宋"/>
          <w:sz w:val="28"/>
          <w:szCs w:val="28"/>
        </w:rPr>
        <w:t>建议</w:t>
      </w:r>
      <w:r>
        <w:rPr>
          <w:rFonts w:hint="eastAsia" w:ascii="仿宋" w:hAnsi="仿宋" w:eastAsia="仿宋"/>
          <w:sz w:val="28"/>
          <w:szCs w:val="28"/>
        </w:rPr>
        <w:t>。（6）按照国家以及我省教育厅的相关文件，按时完成、上传并发布该校年度质量报告《苏州高博软件技术职业学院高等职业教育质量年度报告（2</w:t>
      </w:r>
      <w:r>
        <w:rPr>
          <w:rFonts w:ascii="仿宋" w:hAnsi="仿宋" w:eastAsia="仿宋"/>
          <w:sz w:val="28"/>
          <w:szCs w:val="28"/>
        </w:rPr>
        <w:t>022</w:t>
      </w:r>
      <w:r>
        <w:rPr>
          <w:rFonts w:hint="eastAsia" w:ascii="仿宋" w:hAnsi="仿宋" w:eastAsia="仿宋"/>
          <w:sz w:val="28"/>
          <w:szCs w:val="28"/>
        </w:rPr>
        <w:t>）》；作为反映该校教学质量过程管理的重要媒体《高博督导简报》本学年编撰并发布6期，到2</w:t>
      </w:r>
      <w:r>
        <w:rPr>
          <w:rFonts w:ascii="仿宋" w:hAnsi="仿宋" w:eastAsia="仿宋"/>
          <w:sz w:val="28"/>
          <w:szCs w:val="28"/>
        </w:rPr>
        <w:t>022</w:t>
      </w:r>
      <w:r>
        <w:rPr>
          <w:rFonts w:hint="eastAsia" w:ascii="仿宋" w:hAnsi="仿宋" w:eastAsia="仿宋"/>
          <w:sz w:val="28"/>
          <w:szCs w:val="28"/>
        </w:rPr>
        <w:t>年年底，总期数达到3</w:t>
      </w:r>
      <w:r>
        <w:rPr>
          <w:rFonts w:ascii="仿宋" w:hAnsi="仿宋" w:eastAsia="仿宋"/>
          <w:sz w:val="28"/>
          <w:szCs w:val="28"/>
        </w:rPr>
        <w:t>8</w:t>
      </w:r>
      <w:r>
        <w:rPr>
          <w:rFonts w:hint="eastAsia" w:ascii="仿宋" w:hAnsi="仿宋" w:eastAsia="仿宋"/>
          <w:sz w:val="28"/>
          <w:szCs w:val="28"/>
        </w:rPr>
        <w:t>期。2</w:t>
      </w:r>
      <w:r>
        <w:rPr>
          <w:rFonts w:ascii="仿宋" w:hAnsi="仿宋" w:eastAsia="仿宋"/>
          <w:sz w:val="28"/>
          <w:szCs w:val="28"/>
        </w:rPr>
        <w:t>022</w:t>
      </w:r>
      <w:r>
        <w:rPr>
          <w:rFonts w:hint="eastAsia" w:ascii="仿宋" w:hAnsi="仿宋" w:eastAsia="仿宋"/>
          <w:sz w:val="28"/>
          <w:szCs w:val="28"/>
        </w:rPr>
        <w:t>年启动并首次发布“苏州高博软件技术职业学院特色建设报告”，展示并有力推进该校的特色办学成果。</w:t>
      </w:r>
    </w:p>
    <w:p>
      <w:pPr>
        <w:pStyle w:val="3"/>
        <w:spacing w:before="0" w:after="0" w:line="360" w:lineRule="auto"/>
        <w:ind w:firstLine="562" w:firstLineChars="200"/>
        <w:rPr>
          <w:rFonts w:ascii="仿宋_GB2312" w:eastAsia="仿宋_GB2312" w:hAnsiTheme="minorEastAsia"/>
          <w:sz w:val="28"/>
          <w:szCs w:val="28"/>
        </w:rPr>
      </w:pPr>
      <w:bookmarkStart w:id="264" w:name="_Toc124087904"/>
      <w:r>
        <w:rPr>
          <w:rFonts w:hint="eastAsia" w:ascii="仿宋_GB2312" w:eastAsia="仿宋_GB2312" w:hAnsiTheme="minorEastAsia"/>
          <w:sz w:val="28"/>
          <w:szCs w:val="28"/>
        </w:rPr>
        <w:t>3.</w:t>
      </w:r>
      <w:r>
        <w:rPr>
          <w:rFonts w:ascii="仿宋_GB2312" w:eastAsia="仿宋_GB2312" w:hAnsiTheme="minorEastAsia"/>
          <w:sz w:val="28"/>
          <w:szCs w:val="28"/>
        </w:rPr>
        <w:t>5</w:t>
      </w:r>
      <w:r>
        <w:rPr>
          <w:rFonts w:hint="eastAsia" w:ascii="仿宋_GB2312" w:eastAsia="仿宋_GB2312" w:hAnsiTheme="minorEastAsia"/>
          <w:sz w:val="28"/>
          <w:szCs w:val="28"/>
        </w:rPr>
        <w:t>学校治理</w:t>
      </w:r>
      <w:bookmarkEnd w:id="264"/>
    </w:p>
    <w:p>
      <w:pPr>
        <w:adjustRightInd w:val="0"/>
        <w:snapToGrid w:val="0"/>
        <w:spacing w:line="360" w:lineRule="auto"/>
        <w:ind w:firstLine="560" w:firstLineChars="200"/>
        <w:rPr>
          <w:rFonts w:ascii="仿宋" w:hAnsi="仿宋" w:eastAsia="仿宋"/>
          <w:sz w:val="28"/>
          <w:szCs w:val="28"/>
        </w:rPr>
      </w:pPr>
      <w:r>
        <w:rPr>
          <w:rFonts w:hint="eastAsia" w:ascii="宋体" w:hAnsi="宋体" w:eastAsia="宋体" w:cs="宋体"/>
          <w:sz w:val="28"/>
          <w:szCs w:val="28"/>
        </w:rPr>
        <w:t xml:space="preserve"> </w:t>
      </w:r>
      <w:r>
        <w:rPr>
          <w:rFonts w:hint="eastAsia" w:ascii="仿宋" w:hAnsi="仿宋" w:eastAsia="仿宋"/>
          <w:sz w:val="28"/>
          <w:szCs w:val="28"/>
        </w:rPr>
        <w:t>学校坚决贯彻执行《国务院关于加快发展现代职业教育的决定》、《中华人民共和国职业教育法》、《国家职业教育改革实施方案》、《职业教育提质培优行动计划（2020——2023）》，教育部印发的《教育部关于深化职业教育教学改革全面提高人才培养质量的若干意见》，中共中央、国务院印发的《深化新时代教育评价改革总体方案》，以及中办国办印发的《关于推动现代职业教育高质量发展的意见》等文件精神，贯彻落实《中华人民共和国民办教育促进法》，全面推进依法治校，依法办学。进一步增强学院综合办学实力，提升人才培养质量，建设高质量教育体系，办好人民满意的教育。</w:t>
      </w:r>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学校坚持全面贯彻国家教育方针，在各级领导关怀、指导下，在密切横向学习交流的基础上，稳步推进学校各项工作。本学年苏州市领导与苏州高新区区领导先后莅临该校调研指导（见图</w:t>
      </w:r>
      <w:r>
        <w:rPr>
          <w:rFonts w:ascii="仿宋" w:hAnsi="仿宋" w:eastAsia="仿宋"/>
          <w:sz w:val="28"/>
          <w:szCs w:val="28"/>
        </w:rPr>
        <w:t>3.10</w:t>
      </w:r>
      <w:r>
        <w:rPr>
          <w:rFonts w:hint="eastAsia" w:ascii="仿宋" w:hAnsi="仿宋" w:eastAsia="仿宋"/>
          <w:sz w:val="28"/>
          <w:szCs w:val="28"/>
        </w:rPr>
        <w:t>）；省疫情防控组、苏州科技城领导多次来该校就疫情防控及政校企联动等工作进行指导（见图</w:t>
      </w:r>
      <w:r>
        <w:rPr>
          <w:rFonts w:ascii="仿宋" w:hAnsi="仿宋" w:eastAsia="仿宋"/>
          <w:sz w:val="28"/>
          <w:szCs w:val="28"/>
        </w:rPr>
        <w:t>3.11</w:t>
      </w:r>
      <w:r>
        <w:rPr>
          <w:rFonts w:hint="eastAsia" w:ascii="仿宋" w:hAnsi="仿宋" w:eastAsia="仿宋"/>
          <w:sz w:val="28"/>
          <w:szCs w:val="28"/>
        </w:rPr>
        <w:t xml:space="preserve">）。同时，该校加强校际交流，相互学习，借鉴经验。如苏州城市学院、苏州托普信息职业技术学院等高校来该校交流学习，该校组织赴无锡南洋职业技术学院考察交流等。有效推进了我院的办学质量与内涵建设。 </w:t>
      </w:r>
    </w:p>
    <w:p>
      <w:pPr>
        <w:adjustRightInd w:val="0"/>
        <w:snapToGrid w:val="0"/>
        <w:spacing w:line="360" w:lineRule="auto"/>
        <w:ind w:firstLine="420" w:firstLineChars="200"/>
        <w:jc w:val="center"/>
        <w:rPr>
          <w:rFonts w:ascii="仿宋" w:hAnsi="仿宋" w:eastAsia="仿宋"/>
          <w:sz w:val="28"/>
          <w:szCs w:val="28"/>
        </w:rPr>
      </w:pPr>
      <w:r>
        <w:drawing>
          <wp:inline distT="0" distB="0" distL="0" distR="0">
            <wp:extent cx="4791075" cy="319341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4791614" cy="3193415"/>
                    </a:xfrm>
                    <a:prstGeom prst="rect">
                      <a:avLst/>
                    </a:prstGeom>
                    <a:noFill/>
                    <a:ln>
                      <a:noFill/>
                    </a:ln>
                  </pic:spPr>
                </pic:pic>
              </a:graphicData>
            </a:graphic>
          </wp:inline>
        </w:drawing>
      </w:r>
    </w:p>
    <w:p>
      <w:pPr>
        <w:widowControl/>
        <w:spacing w:after="156" w:afterLines="50" w:line="360" w:lineRule="auto"/>
        <w:jc w:val="center"/>
        <w:rPr>
          <w:rFonts w:ascii="仿宋_GB2312" w:eastAsia="仿宋_GB2312"/>
          <w:b/>
          <w:sz w:val="24"/>
          <w:szCs w:val="24"/>
        </w:rPr>
      </w:pPr>
      <w:bookmarkStart w:id="265" w:name="_Toc124169705"/>
      <w:bookmarkStart w:id="266" w:name="_Hlk121993213"/>
      <w:r>
        <w:rPr>
          <w:rFonts w:hint="eastAsia" w:ascii="仿宋_GB2312" w:eastAsia="仿宋_GB2312"/>
          <w:b/>
          <w:sz w:val="24"/>
          <w:szCs w:val="24"/>
        </w:rPr>
        <w:t xml:space="preserve">图3. </w:t>
      </w:r>
      <w:r>
        <w:rPr>
          <w:rFonts w:ascii="仿宋_GB2312" w:eastAsia="仿宋_GB2312"/>
          <w:b/>
          <w:sz w:val="24"/>
          <w:szCs w:val="24"/>
        </w:rPr>
        <w:fldChar w:fldCharType="begin"/>
      </w:r>
      <w:r>
        <w:rPr>
          <w:rFonts w:ascii="仿宋_GB2312" w:eastAsia="仿宋_GB2312"/>
          <w:b/>
          <w:sz w:val="24"/>
          <w:szCs w:val="24"/>
        </w:rPr>
        <w:instrText xml:space="preserve"> </w:instrText>
      </w:r>
      <w:r>
        <w:rPr>
          <w:rFonts w:hint="eastAsia" w:ascii="仿宋_GB2312" w:eastAsia="仿宋_GB2312"/>
          <w:b/>
          <w:sz w:val="24"/>
          <w:szCs w:val="24"/>
        </w:rPr>
        <w:instrText xml:space="preserve">SEQ 图3. \* ARABIC</w:instrText>
      </w:r>
      <w:r>
        <w:rPr>
          <w:rFonts w:ascii="仿宋_GB2312" w:eastAsia="仿宋_GB2312"/>
          <w:b/>
          <w:sz w:val="24"/>
          <w:szCs w:val="24"/>
        </w:rPr>
        <w:instrText xml:space="preserve"> </w:instrText>
      </w:r>
      <w:r>
        <w:rPr>
          <w:rFonts w:ascii="仿宋_GB2312" w:eastAsia="仿宋_GB2312"/>
          <w:b/>
          <w:sz w:val="24"/>
          <w:szCs w:val="24"/>
        </w:rPr>
        <w:fldChar w:fldCharType="separate"/>
      </w:r>
      <w:r>
        <w:rPr>
          <w:rFonts w:ascii="仿宋_GB2312" w:eastAsia="仿宋_GB2312"/>
          <w:b/>
          <w:sz w:val="24"/>
          <w:szCs w:val="24"/>
        </w:rPr>
        <w:t>10</w:t>
      </w:r>
      <w:r>
        <w:rPr>
          <w:rFonts w:ascii="仿宋_GB2312" w:eastAsia="仿宋_GB2312"/>
          <w:b/>
          <w:sz w:val="24"/>
          <w:szCs w:val="24"/>
        </w:rPr>
        <w:fldChar w:fldCharType="end"/>
      </w:r>
      <w:r>
        <w:rPr>
          <w:rFonts w:ascii="仿宋_GB2312" w:eastAsia="仿宋_GB2312"/>
          <w:b/>
          <w:sz w:val="24"/>
          <w:szCs w:val="24"/>
        </w:rPr>
        <w:t xml:space="preserve"> </w:t>
      </w:r>
      <w:r>
        <w:rPr>
          <w:rFonts w:hint="eastAsia" w:ascii="仿宋_GB2312" w:eastAsia="仿宋_GB2312"/>
          <w:b/>
          <w:sz w:val="24"/>
          <w:szCs w:val="24"/>
        </w:rPr>
        <w:t>苏州高新区管委会莅临指导</w:t>
      </w:r>
      <w:bookmarkEnd w:id="265"/>
    </w:p>
    <w:bookmarkEnd w:id="266"/>
    <w:p>
      <w:pPr>
        <w:adjustRightInd w:val="0"/>
        <w:snapToGrid w:val="0"/>
        <w:spacing w:line="360" w:lineRule="auto"/>
        <w:ind w:firstLine="560" w:firstLineChars="200"/>
        <w:rPr>
          <w:rFonts w:ascii="仿宋" w:hAnsi="仿宋" w:eastAsia="仿宋"/>
          <w:sz w:val="28"/>
          <w:szCs w:val="28"/>
        </w:rPr>
      </w:pPr>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2021年底根据学校现有情况和区域经济社会发展要求，在广泛调研的基础上制定了</w:t>
      </w:r>
      <w:bookmarkStart w:id="267" w:name="_Toc465760020"/>
      <w:bookmarkStart w:id="268" w:name="_Toc465760253"/>
      <w:r>
        <w:rPr>
          <w:rFonts w:hint="eastAsia" w:ascii="仿宋" w:hAnsi="仿宋" w:eastAsia="仿宋"/>
          <w:sz w:val="28"/>
          <w:szCs w:val="28"/>
        </w:rPr>
        <w:t>该校的“十四五”（2021-2025年）事业发展规划</w:t>
      </w:r>
      <w:bookmarkEnd w:id="267"/>
      <w:bookmarkEnd w:id="268"/>
      <w:r>
        <w:rPr>
          <w:rFonts w:hint="eastAsia" w:ascii="仿宋" w:hAnsi="仿宋" w:eastAsia="仿宋"/>
          <w:sz w:val="28"/>
          <w:szCs w:val="28"/>
        </w:rPr>
        <w:t>。按照规划发展要求，先后出台《关于印发苏州高博软件技术职业学院网络安全责任制检查考核制度的通知》《关于印发苏州高博软件技术职业学院首席信息官（CIO）制度的通知》《关于印发《苏州高博软件技术职业学院学生实习管理办法（修订）》的通知》等制度规范，努力提升学校办学能力和治理能力。期间，为深入贯彻党中央、国务院关于安全稳定的决策部署和省教育厅的工作安排，扎实推进校园安全稳定工作。本学年该校召开</w:t>
      </w:r>
      <w:r>
        <w:rPr>
          <w:rFonts w:ascii="仿宋" w:hAnsi="仿宋" w:eastAsia="仿宋"/>
          <w:sz w:val="28"/>
          <w:szCs w:val="28"/>
        </w:rPr>
        <w:t>网络安全工作</w:t>
      </w:r>
      <w:r>
        <w:rPr>
          <w:rFonts w:hint="eastAsia" w:ascii="仿宋" w:hAnsi="仿宋" w:eastAsia="仿宋"/>
          <w:sz w:val="28"/>
          <w:szCs w:val="28"/>
        </w:rPr>
        <w:t>专题</w:t>
      </w:r>
      <w:r>
        <w:rPr>
          <w:rFonts w:ascii="仿宋" w:hAnsi="仿宋" w:eastAsia="仿宋"/>
          <w:sz w:val="28"/>
          <w:szCs w:val="28"/>
        </w:rPr>
        <w:t>会议，传达省网络安全会议有关精神</w:t>
      </w:r>
      <w:r>
        <w:rPr>
          <w:rFonts w:hint="eastAsia" w:ascii="仿宋" w:hAnsi="仿宋" w:eastAsia="仿宋"/>
          <w:sz w:val="28"/>
          <w:szCs w:val="28"/>
        </w:rPr>
        <w:t>，</w:t>
      </w:r>
      <w:r>
        <w:rPr>
          <w:rFonts w:ascii="仿宋" w:hAnsi="仿宋" w:eastAsia="仿宋"/>
          <w:sz w:val="28"/>
          <w:szCs w:val="28"/>
        </w:rPr>
        <w:t>明确各部门党政主要负责人为本单位网络安全第一责任人，对本单位的网络安全负领导责任</w:t>
      </w:r>
      <w:r>
        <w:rPr>
          <w:rFonts w:hint="eastAsia" w:ascii="仿宋" w:hAnsi="仿宋" w:eastAsia="仿宋"/>
          <w:sz w:val="28"/>
          <w:szCs w:val="28"/>
        </w:rPr>
        <w:t>，</w:t>
      </w:r>
      <w:r>
        <w:rPr>
          <w:rFonts w:ascii="仿宋" w:hAnsi="仿宋" w:eastAsia="仿宋"/>
          <w:sz w:val="28"/>
          <w:szCs w:val="28"/>
        </w:rPr>
        <w:t>现场签订网络安全责任书。</w:t>
      </w:r>
      <w:r>
        <w:rPr>
          <w:rFonts w:hint="eastAsia" w:ascii="仿宋" w:hAnsi="仿宋" w:eastAsia="仿宋"/>
          <w:sz w:val="28"/>
          <w:szCs w:val="28"/>
        </w:rPr>
        <w:t>学校成立安全稳定部，并结合学校人员变动，对学校安全稳定工作领导小组学校 “江苏省平安校园建设示范高校” 领导小组进行了调整。争先进，做示范，扬正气，院党委发布“关于表彰2021-2022学年度获得市厅级以上奖项的集体和个人的决定”，对本学年该校在高等职业技能人才培养的各项事业涌现出的优秀团体和个人，进行表彰和鼓励，培育健康向上的校园文化氛围。</w:t>
      </w:r>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面对新冠疫情的风险与挑战，该校坚决贯彻习近平总书记关于疫情防控的重要指示精神，党政一把手靠前指挥，建立完善的疫情联防联控机制以及疫情防控方案，确保师生生命安全和身体健康。后勤工作支持到位，把宿舍外安全梯下闲置空间开发建成 “校园健康驿站”，开展常态化的核酸检测，不仅变废为利，便利安全，而且打造了一道独特校园景观。学校多次组织教职员工开展新冠肺炎疫情防控应急演练，召开线上线下疫情防控工作会议和</w:t>
      </w:r>
      <w:r>
        <w:fldChar w:fldCharType="begin"/>
      </w:r>
      <w:r>
        <w:instrText xml:space="preserve"> HYPERLINK "http://www.gist.edu.cn/2022/0323/c40a37101/page.htm" \t "http://www.gist.edu.cn/_web/_search/api/search/_blank" </w:instrText>
      </w:r>
      <w:r>
        <w:fldChar w:fldCharType="separate"/>
      </w:r>
      <w:r>
        <w:rPr>
          <w:rFonts w:hint="eastAsia" w:ascii="仿宋" w:hAnsi="仿宋" w:eastAsia="仿宋"/>
          <w:sz w:val="28"/>
          <w:szCs w:val="28"/>
        </w:rPr>
        <w:t>疫情应急处置培训会</w:t>
      </w:r>
      <w:r>
        <w:rPr>
          <w:rFonts w:hint="eastAsia" w:ascii="仿宋" w:hAnsi="仿宋" w:eastAsia="仿宋"/>
          <w:sz w:val="28"/>
          <w:szCs w:val="28"/>
        </w:rPr>
        <w:fldChar w:fldCharType="end"/>
      </w:r>
      <w:r>
        <w:rPr>
          <w:rFonts w:hint="eastAsia" w:ascii="仿宋" w:hAnsi="仿宋" w:eastAsia="仿宋"/>
          <w:sz w:val="28"/>
          <w:szCs w:val="28"/>
        </w:rPr>
        <w:t>，稳定并保证了教学运行秩序。学校动员教职工冲锋在前，多名教职工主动报名参与疫情防控志愿服务工作，在核酸检测秩序维护、体温测量、食堂就餐秩序维护等岗位中担当作为，积极为学校打赢疫情防控阻击战贡献力量。在学生生活方面，加强心理健康教育，积极开展思想引导、心理疏导、人文关怀和学习生活指导；在学生学习方面，学校结合线下与线上教学，根据疫情防控情况实时调整，科学管理。</w:t>
      </w:r>
    </w:p>
    <w:p>
      <w:pPr>
        <w:adjustRightInd w:val="0"/>
        <w:snapToGrid w:val="0"/>
        <w:spacing w:line="360" w:lineRule="auto"/>
        <w:ind w:firstLine="420" w:firstLineChars="200"/>
        <w:jc w:val="center"/>
        <w:rPr>
          <w:rFonts w:ascii="仿宋" w:hAnsi="仿宋" w:eastAsia="仿宋"/>
          <w:sz w:val="28"/>
          <w:szCs w:val="28"/>
        </w:rPr>
      </w:pPr>
      <w:r>
        <w:drawing>
          <wp:inline distT="0" distB="0" distL="0" distR="0">
            <wp:extent cx="4567555" cy="304419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4574298" cy="3048584"/>
                    </a:xfrm>
                    <a:prstGeom prst="rect">
                      <a:avLst/>
                    </a:prstGeom>
                    <a:noFill/>
                    <a:ln>
                      <a:noFill/>
                    </a:ln>
                  </pic:spPr>
                </pic:pic>
              </a:graphicData>
            </a:graphic>
          </wp:inline>
        </w:drawing>
      </w:r>
    </w:p>
    <w:p>
      <w:pPr>
        <w:widowControl/>
        <w:spacing w:after="156" w:afterLines="50" w:line="360" w:lineRule="auto"/>
        <w:jc w:val="center"/>
        <w:rPr>
          <w:rFonts w:ascii="仿宋_GB2312" w:eastAsia="仿宋_GB2312"/>
          <w:b/>
          <w:sz w:val="24"/>
          <w:szCs w:val="24"/>
        </w:rPr>
      </w:pPr>
      <w:bookmarkStart w:id="269" w:name="_Toc124169706"/>
      <w:bookmarkStart w:id="270" w:name="_Hlk121993229"/>
      <w:r>
        <w:rPr>
          <w:rFonts w:hint="eastAsia" w:ascii="仿宋_GB2312" w:eastAsia="仿宋_GB2312"/>
          <w:b/>
          <w:sz w:val="24"/>
          <w:szCs w:val="24"/>
        </w:rPr>
        <w:t xml:space="preserve">图3. </w:t>
      </w:r>
      <w:r>
        <w:rPr>
          <w:rFonts w:ascii="仿宋_GB2312" w:eastAsia="仿宋_GB2312"/>
          <w:b/>
          <w:sz w:val="24"/>
          <w:szCs w:val="24"/>
        </w:rPr>
        <w:fldChar w:fldCharType="begin"/>
      </w:r>
      <w:r>
        <w:rPr>
          <w:rFonts w:ascii="仿宋_GB2312" w:eastAsia="仿宋_GB2312"/>
          <w:b/>
          <w:sz w:val="24"/>
          <w:szCs w:val="24"/>
        </w:rPr>
        <w:instrText xml:space="preserve"> </w:instrText>
      </w:r>
      <w:r>
        <w:rPr>
          <w:rFonts w:hint="eastAsia" w:ascii="仿宋_GB2312" w:eastAsia="仿宋_GB2312"/>
          <w:b/>
          <w:sz w:val="24"/>
          <w:szCs w:val="24"/>
        </w:rPr>
        <w:instrText xml:space="preserve">SEQ 图3. \* ARABIC</w:instrText>
      </w:r>
      <w:r>
        <w:rPr>
          <w:rFonts w:ascii="仿宋_GB2312" w:eastAsia="仿宋_GB2312"/>
          <w:b/>
          <w:sz w:val="24"/>
          <w:szCs w:val="24"/>
        </w:rPr>
        <w:instrText xml:space="preserve"> </w:instrText>
      </w:r>
      <w:r>
        <w:rPr>
          <w:rFonts w:ascii="仿宋_GB2312" w:eastAsia="仿宋_GB2312"/>
          <w:b/>
          <w:sz w:val="24"/>
          <w:szCs w:val="24"/>
        </w:rPr>
        <w:fldChar w:fldCharType="separate"/>
      </w:r>
      <w:r>
        <w:rPr>
          <w:rFonts w:ascii="仿宋_GB2312" w:eastAsia="仿宋_GB2312"/>
          <w:b/>
          <w:sz w:val="24"/>
          <w:szCs w:val="24"/>
        </w:rPr>
        <w:t>11</w:t>
      </w:r>
      <w:r>
        <w:rPr>
          <w:rFonts w:ascii="仿宋_GB2312" w:eastAsia="仿宋_GB2312"/>
          <w:b/>
          <w:sz w:val="24"/>
          <w:szCs w:val="24"/>
        </w:rPr>
        <w:fldChar w:fldCharType="end"/>
      </w:r>
      <w:r>
        <w:rPr>
          <w:rFonts w:ascii="仿宋_GB2312" w:eastAsia="仿宋_GB2312"/>
          <w:b/>
          <w:sz w:val="24"/>
          <w:szCs w:val="24"/>
        </w:rPr>
        <w:t xml:space="preserve"> </w:t>
      </w:r>
      <w:r>
        <w:rPr>
          <w:rFonts w:hint="eastAsia" w:ascii="仿宋_GB2312" w:eastAsia="仿宋_GB2312"/>
          <w:b/>
          <w:sz w:val="24"/>
          <w:szCs w:val="24"/>
        </w:rPr>
        <w:t>江苏省疫情防控组来校检查</w:t>
      </w:r>
      <w:bookmarkEnd w:id="269"/>
    </w:p>
    <w:bookmarkEnd w:id="270"/>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学校坚持一切为了学生的理念，</w:t>
      </w:r>
      <w:r>
        <w:rPr>
          <w:rFonts w:ascii="仿宋" w:hAnsi="仿宋" w:eastAsia="仿宋"/>
          <w:sz w:val="28"/>
          <w:szCs w:val="28"/>
        </w:rPr>
        <w:t>制定《关于领导干部深入基层联系学生工作制度》，促进学校各级领导干部把工作重心下移到基层单位，工作重点放到学生思想政治工作上，体察校情、关爱学生、答疑解惑、解决问题，推动形成</w:t>
      </w:r>
      <w:r>
        <w:rPr>
          <w:rFonts w:hint="eastAsia" w:ascii="仿宋" w:hAnsi="仿宋" w:eastAsia="仿宋"/>
          <w:sz w:val="28"/>
          <w:szCs w:val="28"/>
        </w:rPr>
        <w:t>全员、全程、全方位的“三全</w:t>
      </w:r>
      <w:r>
        <w:rPr>
          <w:rFonts w:ascii="仿宋" w:hAnsi="仿宋" w:eastAsia="仿宋"/>
          <w:sz w:val="28"/>
          <w:szCs w:val="28"/>
        </w:rPr>
        <w:t>育人</w:t>
      </w:r>
      <w:r>
        <w:rPr>
          <w:rFonts w:hint="eastAsia" w:ascii="仿宋" w:hAnsi="仿宋" w:eastAsia="仿宋"/>
          <w:sz w:val="28"/>
          <w:szCs w:val="28"/>
        </w:rPr>
        <w:t>”</w:t>
      </w:r>
      <w:r>
        <w:rPr>
          <w:rFonts w:ascii="仿宋" w:hAnsi="仿宋" w:eastAsia="仿宋"/>
          <w:sz w:val="28"/>
          <w:szCs w:val="28"/>
        </w:rPr>
        <w:t>合力。</w:t>
      </w:r>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2021年该校被评为江苏省节水型对标达标高校；2022年9月该校荣获“苏州高新区技能人才培养输出示范基地”荣誉称号，并被省教育厅等四部门认定为首批江苏省绿色学校（高校）之一。</w:t>
      </w:r>
    </w:p>
    <w:p>
      <w:pPr>
        <w:adjustRightInd w:val="0"/>
        <w:snapToGrid w:val="0"/>
        <w:spacing w:line="360" w:lineRule="auto"/>
        <w:ind w:firstLine="560" w:firstLineChars="200"/>
        <w:rPr>
          <w:rFonts w:ascii="仿宋" w:hAnsi="仿宋" w:eastAsia="仿宋"/>
          <w:sz w:val="28"/>
          <w:szCs w:val="28"/>
        </w:rPr>
      </w:pPr>
    </w:p>
    <w:p>
      <w:pPr>
        <w:pStyle w:val="2"/>
        <w:spacing w:before="0" w:after="0" w:line="360" w:lineRule="auto"/>
        <w:ind w:firstLine="643" w:firstLineChars="200"/>
        <w:rPr>
          <w:rFonts w:ascii="黑体" w:hAnsi="黑体" w:eastAsia="黑体"/>
          <w:sz w:val="32"/>
          <w:szCs w:val="32"/>
        </w:rPr>
      </w:pPr>
      <w:bookmarkStart w:id="271" w:name="_Toc53478832"/>
      <w:bookmarkStart w:id="272" w:name="_Toc500492322"/>
      <w:bookmarkStart w:id="273" w:name="_Toc533519420"/>
      <w:bookmarkStart w:id="274" w:name="_Toc532826580"/>
      <w:bookmarkStart w:id="275" w:name="_Toc124087905"/>
      <w:bookmarkStart w:id="276" w:name="_Toc22102380"/>
      <w:bookmarkStart w:id="277" w:name="_Toc533519423"/>
      <w:r>
        <w:rPr>
          <w:rFonts w:hint="eastAsia" w:ascii="黑体" w:hAnsi="黑体" w:eastAsia="黑体"/>
          <w:sz w:val="32"/>
          <w:szCs w:val="32"/>
        </w:rPr>
        <w:t>4.国际</w:t>
      </w:r>
      <w:bookmarkEnd w:id="271"/>
      <w:bookmarkEnd w:id="272"/>
      <w:bookmarkEnd w:id="273"/>
      <w:bookmarkEnd w:id="274"/>
      <w:r>
        <w:rPr>
          <w:rFonts w:hint="eastAsia" w:ascii="黑体" w:hAnsi="黑体" w:eastAsia="黑体"/>
          <w:sz w:val="32"/>
          <w:szCs w:val="32"/>
        </w:rPr>
        <w:t>交流</w:t>
      </w:r>
      <w:bookmarkEnd w:id="275"/>
    </w:p>
    <w:p>
      <w:pPr>
        <w:widowControl/>
        <w:ind w:firstLine="560" w:firstLineChars="200"/>
        <w:jc w:val="left"/>
        <w:rPr>
          <w:rFonts w:ascii="仿宋_GB2312" w:eastAsia="仿宋_GB2312" w:hAnsiTheme="minorEastAsia"/>
          <w:b/>
          <w:sz w:val="24"/>
          <w:szCs w:val="24"/>
        </w:rPr>
      </w:pPr>
      <w:r>
        <w:rPr>
          <w:rFonts w:hint="eastAsia" w:ascii="仿宋" w:hAnsi="仿宋" w:eastAsia="仿宋"/>
          <w:sz w:val="28"/>
          <w:szCs w:val="28"/>
        </w:rPr>
        <w:t>受疫情影响，2021学年及2022学年该校全日制加勒比地区留学生人数有所下降，非全日制国（境）外人员培训人数有所减少。国际合作办学也推动了国际交流与合作。应习近平主席邀请参加第二届上海进口博览会的牙买加总理 Holness 先生在上海接见了在该校学习的部分牙买加学生和教师；巴巴多斯农业与食品安全部部长韦尔先生和巴巴多斯驻华大使杰克曼先生看望了在该校学习的部分学生和教师（见图</w:t>
      </w:r>
      <w:r>
        <w:rPr>
          <w:rFonts w:ascii="仿宋" w:hAnsi="仿宋" w:eastAsia="仿宋"/>
          <w:sz w:val="28"/>
          <w:szCs w:val="28"/>
        </w:rPr>
        <w:t>4.1</w:t>
      </w:r>
      <w:r>
        <w:rPr>
          <w:rFonts w:hint="eastAsia" w:ascii="仿宋" w:hAnsi="仿宋" w:eastAsia="仿宋"/>
          <w:sz w:val="28"/>
          <w:szCs w:val="28"/>
        </w:rPr>
        <w:t>）。</w:t>
      </w:r>
    </w:p>
    <w:p>
      <w:pPr>
        <w:adjustRightInd w:val="0"/>
        <w:snapToGrid w:val="0"/>
        <w:spacing w:line="360" w:lineRule="auto"/>
        <w:jc w:val="center"/>
        <w:rPr>
          <w:rFonts w:ascii="仿宋_GB2312" w:eastAsia="仿宋_GB2312" w:hAnsiTheme="minorEastAsia"/>
          <w:b/>
          <w:sz w:val="24"/>
          <w:szCs w:val="24"/>
        </w:rPr>
      </w:pPr>
      <w:bookmarkStart w:id="278" w:name="_Toc124170727"/>
      <w:bookmarkStart w:id="279" w:name="_Toc124170655"/>
      <w:bookmarkStart w:id="280" w:name="_Hlk121993246"/>
      <w:r>
        <w:rPr>
          <w:rFonts w:hint="eastAsia" w:ascii="仿宋_GB2312" w:eastAsia="仿宋_GB2312" w:hAnsiTheme="minorEastAsia"/>
          <w:b/>
          <w:sz w:val="24"/>
          <w:szCs w:val="24"/>
        </w:rPr>
        <w:t xml:space="preserve">表4. </w:t>
      </w:r>
      <w:r>
        <w:rPr>
          <w:rFonts w:ascii="仿宋_GB2312" w:eastAsia="仿宋_GB2312" w:hAnsiTheme="minorEastAsia"/>
          <w:b/>
          <w:sz w:val="24"/>
          <w:szCs w:val="24"/>
        </w:rPr>
        <w:fldChar w:fldCharType="begin"/>
      </w:r>
      <w:r>
        <w:rPr>
          <w:rFonts w:ascii="仿宋_GB2312" w:eastAsia="仿宋_GB2312" w:hAnsiTheme="minorEastAsia"/>
          <w:b/>
          <w:sz w:val="24"/>
          <w:szCs w:val="24"/>
        </w:rPr>
        <w:instrText xml:space="preserve"> </w:instrText>
      </w:r>
      <w:r>
        <w:rPr>
          <w:rFonts w:hint="eastAsia" w:ascii="仿宋_GB2312" w:eastAsia="仿宋_GB2312" w:hAnsiTheme="minorEastAsia"/>
          <w:b/>
          <w:sz w:val="24"/>
          <w:szCs w:val="24"/>
        </w:rPr>
        <w:instrText xml:space="preserve">SEQ 表4. \* ARABIC</w:instrText>
      </w:r>
      <w:r>
        <w:rPr>
          <w:rFonts w:ascii="仿宋_GB2312" w:eastAsia="仿宋_GB2312" w:hAnsiTheme="minorEastAsia"/>
          <w:b/>
          <w:sz w:val="24"/>
          <w:szCs w:val="24"/>
        </w:rPr>
        <w:instrText xml:space="preserve"> </w:instrText>
      </w:r>
      <w:r>
        <w:rPr>
          <w:rFonts w:ascii="仿宋_GB2312" w:eastAsia="仿宋_GB2312" w:hAnsiTheme="minorEastAsia"/>
          <w:b/>
          <w:sz w:val="24"/>
          <w:szCs w:val="24"/>
        </w:rPr>
        <w:fldChar w:fldCharType="separate"/>
      </w:r>
      <w:r>
        <w:rPr>
          <w:rFonts w:ascii="仿宋_GB2312" w:eastAsia="仿宋_GB2312" w:hAnsiTheme="minorEastAsia"/>
          <w:b/>
          <w:sz w:val="24"/>
          <w:szCs w:val="24"/>
        </w:rPr>
        <w:t>1</w:t>
      </w:r>
      <w:r>
        <w:rPr>
          <w:rFonts w:ascii="仿宋_GB2312" w:eastAsia="仿宋_GB2312" w:hAnsiTheme="minorEastAsia"/>
          <w:b/>
          <w:sz w:val="24"/>
          <w:szCs w:val="24"/>
        </w:rPr>
        <w:fldChar w:fldCharType="end"/>
      </w:r>
      <w:r>
        <w:rPr>
          <w:rFonts w:ascii="仿宋_GB2312" w:eastAsia="仿宋_GB2312" w:hAnsiTheme="minorEastAsia"/>
          <w:b/>
          <w:sz w:val="24"/>
          <w:szCs w:val="24"/>
        </w:rPr>
        <w:t xml:space="preserve"> </w:t>
      </w:r>
      <w:r>
        <w:rPr>
          <w:rFonts w:hint="eastAsia" w:ascii="仿宋_GB2312" w:eastAsia="仿宋_GB2312" w:hAnsiTheme="minorEastAsia"/>
          <w:b/>
          <w:sz w:val="24"/>
          <w:szCs w:val="24"/>
        </w:rPr>
        <w:t>国际影响表</w:t>
      </w:r>
      <w:bookmarkEnd w:id="278"/>
      <w:bookmarkEnd w:id="279"/>
    </w:p>
    <w:bookmarkEnd w:id="280"/>
    <w:tbl>
      <w:tblPr>
        <w:tblStyle w:val="62"/>
        <w:tblW w:w="0" w:type="auto"/>
        <w:tblInd w:w="0" w:type="dxa"/>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Layout w:type="autofit"/>
        <w:tblCellMar>
          <w:top w:w="0" w:type="dxa"/>
          <w:left w:w="108" w:type="dxa"/>
          <w:bottom w:w="0" w:type="dxa"/>
          <w:right w:w="108" w:type="dxa"/>
        </w:tblCellMar>
      </w:tblPr>
      <w:tblGrid>
        <w:gridCol w:w="698"/>
        <w:gridCol w:w="2911"/>
        <w:gridCol w:w="1865"/>
        <w:gridCol w:w="1203"/>
        <w:gridCol w:w="1726"/>
        <w:gridCol w:w="1096"/>
      </w:tblGrid>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trPr>
        <w:tc>
          <w:tcPr>
            <w:tcW w:w="0" w:type="auto"/>
            <w:tcBorders>
              <w:top w:val="single" w:color="CCE8CF" w:themeColor="background1" w:sz="4" w:space="0"/>
              <w:left w:val="single" w:color="CCE8CF" w:themeColor="background1" w:sz="4" w:space="0"/>
              <w:right w:val="nil"/>
              <w:insideV w:val="nil"/>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序号</w:t>
            </w:r>
          </w:p>
        </w:tc>
        <w:tc>
          <w:tcPr>
            <w:tcW w:w="0" w:type="auto"/>
            <w:gridSpan w:val="2"/>
            <w:tcBorders>
              <w:top w:val="single" w:color="CCE8CF" w:themeColor="background1" w:sz="4" w:space="0"/>
              <w:right w:val="nil"/>
              <w:insideV w:val="nil"/>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指标</w:t>
            </w:r>
          </w:p>
        </w:tc>
        <w:tc>
          <w:tcPr>
            <w:tcW w:w="0" w:type="auto"/>
            <w:tcBorders>
              <w:top w:val="single" w:color="CCE8CF" w:themeColor="background1" w:sz="4" w:space="0"/>
              <w:right w:val="nil"/>
              <w:insideV w:val="nil"/>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单位</w:t>
            </w:r>
          </w:p>
        </w:tc>
        <w:tc>
          <w:tcPr>
            <w:tcW w:w="0" w:type="auto"/>
            <w:tcBorders>
              <w:top w:val="single" w:color="CCE8CF" w:themeColor="background1" w:sz="4" w:space="0"/>
              <w:right w:val="nil"/>
              <w:insideV w:val="nil"/>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2021年</w:t>
            </w:r>
          </w:p>
        </w:tc>
        <w:tc>
          <w:tcPr>
            <w:tcW w:w="0" w:type="auto"/>
            <w:tcBorders>
              <w:top w:val="single" w:color="CCE8CF" w:themeColor="background1" w:sz="4" w:space="0"/>
              <w:right w:val="single" w:color="CCE8CF" w:themeColor="background1" w:sz="4" w:space="0"/>
              <w:insideV w:val="nil"/>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2022年</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trPr>
        <w:tc>
          <w:tcPr>
            <w:tcW w:w="0" w:type="auto"/>
            <w:vMerge w:val="restart"/>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1</w:t>
            </w:r>
          </w:p>
        </w:tc>
        <w:tc>
          <w:tcPr>
            <w:tcW w:w="0" w:type="auto"/>
            <w:gridSpan w:val="2"/>
            <w:shd w:val="clear" w:color="auto" w:fill="BDD6EE" w:themeFill="accent5" w:themeFillTint="66"/>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接收国（境）外留学生专业数</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个</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1</w:t>
            </w:r>
          </w:p>
        </w:tc>
        <w:tc>
          <w:tcPr>
            <w:tcW w:w="0" w:type="auto"/>
            <w:shd w:val="clear" w:color="auto" w:fill="BDD6EE" w:themeFill="accent5" w:themeFillTint="66"/>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1</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trPr>
        <w:tc>
          <w:tcPr>
            <w:tcW w:w="0" w:type="auto"/>
            <w:vMerge w:val="continue"/>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p>
        </w:tc>
        <w:tc>
          <w:tcPr>
            <w:tcW w:w="0" w:type="auto"/>
            <w:gridSpan w:val="2"/>
            <w:shd w:val="clear" w:color="auto" w:fill="DEEAF6" w:themeFill="accent5" w:themeFillTint="33"/>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接收国（境）外留学生人数</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人</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10</w:t>
            </w:r>
          </w:p>
        </w:tc>
        <w:tc>
          <w:tcPr>
            <w:tcW w:w="0" w:type="auto"/>
            <w:shd w:val="clear" w:color="auto" w:fill="DEEAF6" w:themeFill="accent5" w:themeFillTint="33"/>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18</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trPr>
        <w:tc>
          <w:tcPr>
            <w:tcW w:w="0" w:type="auto"/>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2</w:t>
            </w:r>
          </w:p>
        </w:tc>
        <w:tc>
          <w:tcPr>
            <w:tcW w:w="0" w:type="auto"/>
            <w:gridSpan w:val="2"/>
            <w:shd w:val="clear" w:color="auto" w:fill="BDD6EE" w:themeFill="accent5" w:themeFillTint="66"/>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开发并被国（境）外采用的课程标准数</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个</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14</w:t>
            </w:r>
          </w:p>
        </w:tc>
        <w:tc>
          <w:tcPr>
            <w:tcW w:w="0" w:type="auto"/>
            <w:shd w:val="clear" w:color="auto" w:fill="BDD6EE" w:themeFill="accent5" w:themeFillTint="66"/>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trPr>
        <w:tc>
          <w:tcPr>
            <w:tcW w:w="0" w:type="auto"/>
            <w:vMerge w:val="restart"/>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3</w:t>
            </w:r>
          </w:p>
        </w:tc>
        <w:tc>
          <w:tcPr>
            <w:tcW w:w="0" w:type="auto"/>
            <w:gridSpan w:val="2"/>
            <w:shd w:val="clear" w:color="auto" w:fill="DEEAF6" w:themeFill="accent5" w:themeFillTint="33"/>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在国（境）外开办学校数</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所</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0</w:t>
            </w:r>
          </w:p>
        </w:tc>
        <w:tc>
          <w:tcPr>
            <w:tcW w:w="0" w:type="auto"/>
            <w:shd w:val="clear" w:color="auto" w:fill="DEEAF6" w:themeFill="accent5" w:themeFillTint="33"/>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trPr>
        <w:tc>
          <w:tcPr>
            <w:tcW w:w="0" w:type="auto"/>
            <w:vMerge w:val="continue"/>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p>
        </w:tc>
        <w:tc>
          <w:tcPr>
            <w:tcW w:w="0" w:type="auto"/>
            <w:gridSpan w:val="2"/>
            <w:shd w:val="clear" w:color="auto" w:fill="BDD6EE" w:themeFill="accent5" w:themeFillTint="66"/>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其中：专业数量</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个</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0</w:t>
            </w:r>
          </w:p>
        </w:tc>
        <w:tc>
          <w:tcPr>
            <w:tcW w:w="0" w:type="auto"/>
            <w:shd w:val="clear" w:color="auto" w:fill="BDD6EE" w:themeFill="accent5" w:themeFillTint="66"/>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trPr>
        <w:tc>
          <w:tcPr>
            <w:tcW w:w="0" w:type="auto"/>
            <w:vMerge w:val="continue"/>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p>
        </w:tc>
        <w:tc>
          <w:tcPr>
            <w:tcW w:w="0" w:type="auto"/>
            <w:gridSpan w:val="2"/>
            <w:shd w:val="clear" w:color="auto" w:fill="DEEAF6" w:themeFill="accent5" w:themeFillTint="33"/>
          </w:tcPr>
          <w:p>
            <w:pPr>
              <w:widowControl/>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 xml:space="preserve">      </w:t>
            </w:r>
            <w:r>
              <w:rPr>
                <w:rFonts w:hint="eastAsia" w:ascii="仿宋_GB2312" w:hAnsi="Times New Roman" w:eastAsia="仿宋_GB2312" w:cs="Times New Roman"/>
                <w:color w:val="000000"/>
                <w:kern w:val="0"/>
                <w:sz w:val="24"/>
                <w:szCs w:val="24"/>
              </w:rPr>
              <w:t>在校生数</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人</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0</w:t>
            </w:r>
          </w:p>
        </w:tc>
        <w:tc>
          <w:tcPr>
            <w:tcW w:w="0" w:type="auto"/>
            <w:shd w:val="clear" w:color="auto" w:fill="DEEAF6" w:themeFill="accent5" w:themeFillTint="33"/>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trPr>
        <w:tc>
          <w:tcPr>
            <w:tcW w:w="0" w:type="auto"/>
            <w:vMerge w:val="restart"/>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4</w:t>
            </w:r>
          </w:p>
        </w:tc>
        <w:tc>
          <w:tcPr>
            <w:tcW w:w="0" w:type="auto"/>
            <w:gridSpan w:val="2"/>
            <w:shd w:val="clear" w:color="auto" w:fill="BDD6EE" w:themeFill="accent5" w:themeFillTint="66"/>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中外合作办学专业数</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个</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0</w:t>
            </w:r>
          </w:p>
        </w:tc>
        <w:tc>
          <w:tcPr>
            <w:tcW w:w="0" w:type="auto"/>
            <w:shd w:val="clear" w:color="auto" w:fill="BDD6EE" w:themeFill="accent5" w:themeFillTint="66"/>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trPr>
        <w:tc>
          <w:tcPr>
            <w:tcW w:w="0" w:type="auto"/>
            <w:vMerge w:val="continue"/>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p>
        </w:tc>
        <w:tc>
          <w:tcPr>
            <w:tcW w:w="0" w:type="auto"/>
            <w:gridSpan w:val="2"/>
            <w:shd w:val="clear" w:color="auto" w:fill="DEEAF6" w:themeFill="accent5" w:themeFillTint="33"/>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其中：在校生数</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人</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0</w:t>
            </w:r>
          </w:p>
        </w:tc>
        <w:tc>
          <w:tcPr>
            <w:tcW w:w="0" w:type="auto"/>
            <w:shd w:val="clear" w:color="auto" w:fill="DEEAF6" w:themeFill="accent5" w:themeFillTint="33"/>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trPr>
        <w:tc>
          <w:tcPr>
            <w:tcW w:w="0" w:type="auto"/>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5</w:t>
            </w:r>
          </w:p>
        </w:tc>
        <w:tc>
          <w:tcPr>
            <w:tcW w:w="0" w:type="auto"/>
            <w:gridSpan w:val="2"/>
            <w:shd w:val="clear" w:color="auto" w:fill="BDD6EE" w:themeFill="accent5" w:themeFillTint="66"/>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专任教师赴国（境）外指导和开展培训时间</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人日</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0</w:t>
            </w:r>
          </w:p>
        </w:tc>
        <w:tc>
          <w:tcPr>
            <w:tcW w:w="0" w:type="auto"/>
            <w:shd w:val="clear" w:color="auto" w:fill="BDD6EE" w:themeFill="accent5" w:themeFillTint="66"/>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0</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trPr>
        <w:tc>
          <w:tcPr>
            <w:tcW w:w="0" w:type="auto"/>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6</w:t>
            </w:r>
          </w:p>
        </w:tc>
        <w:tc>
          <w:tcPr>
            <w:tcW w:w="0" w:type="auto"/>
            <w:gridSpan w:val="2"/>
            <w:shd w:val="clear" w:color="auto" w:fill="DEEAF6" w:themeFill="accent5" w:themeFillTint="33"/>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在国（境）外组织担任职务的专任教师数</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人</w:t>
            </w:r>
          </w:p>
        </w:tc>
        <w:tc>
          <w:tcPr>
            <w:tcW w:w="0" w:type="auto"/>
            <w:shd w:val="clear" w:color="auto" w:fill="DEEAF6" w:themeFill="accent5" w:themeFillTint="33"/>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0</w:t>
            </w:r>
          </w:p>
        </w:tc>
        <w:tc>
          <w:tcPr>
            <w:tcW w:w="0" w:type="auto"/>
            <w:shd w:val="clear" w:color="auto" w:fill="DEEAF6" w:themeFill="accent5" w:themeFillTint="33"/>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1</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trPr>
        <w:tc>
          <w:tcPr>
            <w:tcW w:w="0" w:type="auto"/>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7</w:t>
            </w:r>
          </w:p>
        </w:tc>
        <w:tc>
          <w:tcPr>
            <w:tcW w:w="0" w:type="auto"/>
            <w:gridSpan w:val="2"/>
            <w:shd w:val="clear" w:color="auto" w:fill="BDD6EE" w:themeFill="accent5" w:themeFillTint="66"/>
          </w:tcPr>
          <w:p>
            <w:pPr>
              <w:widowControl/>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国（境）外技能大赛获奖数量</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项</w:t>
            </w:r>
          </w:p>
        </w:tc>
        <w:tc>
          <w:tcPr>
            <w:tcW w:w="0" w:type="auto"/>
            <w:shd w:val="clear" w:color="auto" w:fill="BDD6EE" w:themeFill="accent5" w:themeFillTint="66"/>
          </w:tcPr>
          <w:p>
            <w:pPr>
              <w:widowControl/>
              <w:jc w:val="center"/>
              <w:rPr>
                <w:rFonts w:ascii="仿宋_GB2312" w:hAnsi="等线" w:eastAsia="仿宋_GB2312" w:cs="宋体"/>
                <w:color w:val="000000"/>
                <w:kern w:val="0"/>
                <w:sz w:val="24"/>
                <w:szCs w:val="24"/>
              </w:rPr>
            </w:pPr>
            <w:r>
              <w:rPr>
                <w:rFonts w:hint="eastAsia" w:ascii="仿宋_GB2312" w:hAnsi="等线" w:eastAsia="仿宋_GB2312" w:cs="宋体"/>
                <w:color w:val="000000"/>
                <w:kern w:val="0"/>
                <w:sz w:val="24"/>
                <w:szCs w:val="24"/>
              </w:rPr>
              <w:t>0</w:t>
            </w:r>
          </w:p>
        </w:tc>
        <w:tc>
          <w:tcPr>
            <w:tcW w:w="0" w:type="auto"/>
            <w:shd w:val="clear" w:color="auto" w:fill="BDD6EE" w:themeFill="accent5" w:themeFillTint="66"/>
          </w:tcPr>
          <w:p>
            <w:pPr>
              <w:widowControl/>
              <w:jc w:val="center"/>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1</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trPr>
        <w:tc>
          <w:tcPr>
            <w:tcW w:w="0" w:type="auto"/>
            <w:gridSpan w:val="6"/>
            <w:tcBorders>
              <w:left w:val="single" w:color="CCE8CF" w:themeColor="background1" w:sz="4" w:space="0"/>
            </w:tcBorders>
            <w:shd w:val="clear" w:color="auto" w:fill="5B9BD5" w:themeFill="accent5"/>
          </w:tcPr>
          <w:p>
            <w:pPr>
              <w:widowControl/>
              <w:jc w:val="left"/>
              <w:rPr>
                <w:rFonts w:ascii="仿宋_GB2312" w:hAnsi="等线" w:eastAsia="仿宋_GB2312" w:cs="宋体"/>
                <w:b/>
                <w:bCs/>
                <w:color w:val="000000"/>
                <w:kern w:val="0"/>
                <w:sz w:val="24"/>
                <w:szCs w:val="24"/>
              </w:rPr>
            </w:pPr>
            <w:r>
              <w:rPr>
                <w:rFonts w:hint="eastAsia" w:ascii="仿宋" w:hAnsi="仿宋" w:eastAsia="仿宋"/>
                <w:b/>
                <w:bCs/>
                <w:color w:val="CCE8CF" w:themeColor="background1"/>
                <w:kern w:val="0"/>
                <w:sz w:val="24"/>
                <w:szCs w:val="24"/>
              </w:rPr>
              <w:t>说明①：请逐一列出在国（境）外组织担任职务的专任教师</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trPr>
        <w:tc>
          <w:tcPr>
            <w:tcW w:w="0" w:type="auto"/>
            <w:tcBorders>
              <w:left w:val="single" w:color="CCE8CF" w:themeColor="background1" w:sz="4" w:space="0"/>
            </w:tcBorders>
            <w:shd w:val="clear" w:color="auto" w:fill="5B9BD5" w:themeFill="accent5"/>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序号</w:t>
            </w:r>
          </w:p>
        </w:tc>
        <w:tc>
          <w:tcPr>
            <w:tcW w:w="0" w:type="auto"/>
            <w:shd w:val="clear" w:color="auto" w:fill="BDD6EE" w:themeFill="accent5" w:themeFillTint="66"/>
          </w:tcPr>
          <w:p>
            <w:pPr>
              <w:widowControl/>
              <w:jc w:val="center"/>
              <w:rPr>
                <w:rFonts w:ascii="黑体" w:hAnsi="黑体" w:eastAsia="黑体" w:cs="宋体"/>
                <w:color w:val="000000"/>
                <w:kern w:val="0"/>
                <w:szCs w:val="21"/>
              </w:rPr>
            </w:pPr>
            <w:r>
              <w:rPr>
                <w:rFonts w:hint="eastAsia" w:ascii="黑体" w:hAnsi="黑体" w:eastAsia="黑体" w:cs="宋体"/>
                <w:color w:val="000000"/>
                <w:kern w:val="0"/>
                <w:szCs w:val="21"/>
              </w:rPr>
              <w:t>姓名</w:t>
            </w:r>
          </w:p>
        </w:tc>
        <w:tc>
          <w:tcPr>
            <w:tcW w:w="0" w:type="auto"/>
            <w:shd w:val="clear" w:color="auto" w:fill="BDD6EE" w:themeFill="accent5" w:themeFillTint="66"/>
          </w:tcPr>
          <w:p>
            <w:pPr>
              <w:widowControl/>
              <w:jc w:val="center"/>
              <w:rPr>
                <w:rFonts w:ascii="黑体" w:hAnsi="黑体" w:eastAsia="黑体" w:cs="宋体"/>
                <w:color w:val="000000"/>
                <w:kern w:val="0"/>
                <w:szCs w:val="21"/>
              </w:rPr>
            </w:pPr>
            <w:r>
              <w:rPr>
                <w:rFonts w:hint="eastAsia" w:ascii="黑体" w:hAnsi="黑体" w:eastAsia="黑体" w:cs="宋体"/>
                <w:color w:val="000000"/>
                <w:kern w:val="0"/>
                <w:szCs w:val="21"/>
              </w:rPr>
              <w:t>专业领域</w:t>
            </w:r>
          </w:p>
        </w:tc>
        <w:tc>
          <w:tcPr>
            <w:tcW w:w="0" w:type="auto"/>
            <w:gridSpan w:val="2"/>
            <w:shd w:val="clear" w:color="auto" w:fill="BDD6EE" w:themeFill="accent5" w:themeFillTint="66"/>
          </w:tcPr>
          <w:p>
            <w:pPr>
              <w:widowControl/>
              <w:jc w:val="center"/>
              <w:rPr>
                <w:rFonts w:ascii="黑体" w:hAnsi="黑体" w:eastAsia="黑体" w:cs="宋体"/>
                <w:color w:val="000000"/>
                <w:kern w:val="0"/>
                <w:szCs w:val="21"/>
              </w:rPr>
            </w:pPr>
            <w:r>
              <w:rPr>
                <w:rFonts w:hint="eastAsia" w:ascii="黑体" w:hAnsi="黑体" w:eastAsia="黑体" w:cs="宋体"/>
                <w:color w:val="000000"/>
                <w:kern w:val="0"/>
                <w:szCs w:val="21"/>
              </w:rPr>
              <w:t>国（境）外组织名称</w:t>
            </w:r>
          </w:p>
        </w:tc>
        <w:tc>
          <w:tcPr>
            <w:tcW w:w="0" w:type="auto"/>
            <w:shd w:val="clear" w:color="auto" w:fill="BDD6EE" w:themeFill="accent5" w:themeFillTint="66"/>
          </w:tcPr>
          <w:p>
            <w:pPr>
              <w:widowControl/>
              <w:jc w:val="center"/>
              <w:rPr>
                <w:rFonts w:ascii="黑体" w:hAnsi="黑体" w:eastAsia="黑体" w:cs="宋体"/>
                <w:color w:val="000000"/>
                <w:kern w:val="0"/>
                <w:szCs w:val="21"/>
              </w:rPr>
            </w:pPr>
            <w:r>
              <w:rPr>
                <w:rFonts w:hint="eastAsia" w:ascii="黑体" w:hAnsi="黑体" w:eastAsia="黑体" w:cs="宋体"/>
                <w:color w:val="000000"/>
                <w:kern w:val="0"/>
                <w:szCs w:val="21"/>
              </w:rPr>
              <w:t>担任职务</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trPr>
        <w:tc>
          <w:tcPr>
            <w:tcW w:w="0" w:type="auto"/>
            <w:tcBorders>
              <w:left w:val="single" w:color="CCE8CF" w:themeColor="background1" w:sz="4" w:space="0"/>
            </w:tcBorders>
            <w:shd w:val="clear" w:color="auto" w:fill="5B9BD5" w:themeFill="accent5"/>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1</w:t>
            </w:r>
          </w:p>
        </w:tc>
        <w:tc>
          <w:tcPr>
            <w:tcW w:w="0" w:type="auto"/>
            <w:shd w:val="clear" w:color="auto" w:fill="DEEAF6" w:themeFill="accent5" w:themeFillTint="33"/>
          </w:tcPr>
          <w:p>
            <w:pPr>
              <w:widowControl/>
              <w:jc w:val="center"/>
              <w:rPr>
                <w:rFonts w:ascii="等线" w:hAnsi="等线" w:eastAsia="等线" w:cs="宋体"/>
                <w:color w:val="000000"/>
                <w:kern w:val="0"/>
                <w:sz w:val="22"/>
              </w:rPr>
            </w:pPr>
            <w:r>
              <w:rPr>
                <w:rFonts w:hint="eastAsia" w:ascii="等线" w:hAnsi="等线" w:eastAsia="等线" w:cs="宋体"/>
                <w:color w:val="000000"/>
                <w:kern w:val="0"/>
                <w:sz w:val="22"/>
              </w:rPr>
              <w:t>华洁芸</w:t>
            </w:r>
          </w:p>
        </w:tc>
        <w:tc>
          <w:tcPr>
            <w:tcW w:w="0" w:type="auto"/>
            <w:shd w:val="clear" w:color="auto" w:fill="DEEAF6" w:themeFill="accent5" w:themeFillTint="33"/>
          </w:tcPr>
          <w:p>
            <w:pPr>
              <w:widowControl/>
              <w:jc w:val="center"/>
              <w:rPr>
                <w:rFonts w:ascii="等线" w:hAnsi="等线" w:eastAsia="等线" w:cs="宋体"/>
                <w:color w:val="000000"/>
                <w:kern w:val="0"/>
                <w:sz w:val="22"/>
              </w:rPr>
            </w:pPr>
            <w:r>
              <w:rPr>
                <w:rFonts w:hint="eastAsia" w:ascii="等线" w:hAnsi="等线" w:eastAsia="等线" w:cs="宋体"/>
                <w:color w:val="000000"/>
                <w:kern w:val="0"/>
                <w:sz w:val="22"/>
              </w:rPr>
              <w:t>教育学</w:t>
            </w:r>
          </w:p>
        </w:tc>
        <w:tc>
          <w:tcPr>
            <w:tcW w:w="0" w:type="auto"/>
            <w:gridSpan w:val="2"/>
            <w:shd w:val="clear" w:color="auto" w:fill="DEEAF6" w:themeFill="accent5" w:themeFillTint="33"/>
          </w:tcPr>
          <w:p>
            <w:pPr>
              <w:widowControl/>
              <w:jc w:val="center"/>
              <w:rPr>
                <w:rFonts w:ascii="等线" w:hAnsi="等线" w:eastAsia="等线" w:cs="宋体"/>
                <w:color w:val="000000"/>
                <w:kern w:val="0"/>
                <w:sz w:val="22"/>
              </w:rPr>
            </w:pPr>
            <w:r>
              <w:rPr>
                <w:rFonts w:hint="eastAsia" w:ascii="等线" w:hAnsi="等线" w:eastAsia="等线" w:cs="宋体"/>
                <w:color w:val="000000"/>
                <w:kern w:val="0"/>
                <w:sz w:val="22"/>
              </w:rPr>
              <w:t>泰国西瓦那大学</w:t>
            </w:r>
          </w:p>
        </w:tc>
        <w:tc>
          <w:tcPr>
            <w:tcW w:w="0" w:type="auto"/>
            <w:shd w:val="clear" w:color="auto" w:fill="DEEAF6" w:themeFill="accent5" w:themeFillTint="33"/>
          </w:tcPr>
          <w:p>
            <w:pPr>
              <w:widowControl/>
              <w:jc w:val="center"/>
              <w:rPr>
                <w:rFonts w:ascii="等线" w:hAnsi="等线" w:eastAsia="等线" w:cs="宋体"/>
                <w:color w:val="000000"/>
                <w:kern w:val="0"/>
                <w:sz w:val="22"/>
              </w:rPr>
            </w:pPr>
            <w:r>
              <w:rPr>
                <w:rFonts w:hint="eastAsia" w:ascii="等线" w:hAnsi="等线" w:eastAsia="等线" w:cs="宋体"/>
                <w:color w:val="000000"/>
                <w:kern w:val="0"/>
                <w:sz w:val="22"/>
              </w:rPr>
              <w:t>特聘教授</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trPr>
        <w:tc>
          <w:tcPr>
            <w:tcW w:w="0" w:type="auto"/>
            <w:tcBorders>
              <w:left w:val="single" w:color="CCE8CF" w:themeColor="background1" w:sz="4" w:space="0"/>
            </w:tcBorders>
            <w:shd w:val="clear" w:color="auto" w:fill="5B9BD5" w:themeFill="accent5"/>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w:t>
            </w:r>
          </w:p>
        </w:tc>
        <w:tc>
          <w:tcPr>
            <w:tcW w:w="0" w:type="auto"/>
            <w:shd w:val="clear" w:color="auto" w:fill="BDD6EE" w:themeFill="accent5" w:themeFillTint="66"/>
          </w:tcPr>
          <w:p>
            <w:pPr>
              <w:widowControl/>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　</w:t>
            </w:r>
          </w:p>
        </w:tc>
        <w:tc>
          <w:tcPr>
            <w:tcW w:w="0" w:type="auto"/>
            <w:shd w:val="clear" w:color="auto" w:fill="BDD6EE" w:themeFill="accent5" w:themeFillTint="66"/>
          </w:tcPr>
          <w:p>
            <w:pPr>
              <w:widowControl/>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　</w:t>
            </w:r>
          </w:p>
        </w:tc>
        <w:tc>
          <w:tcPr>
            <w:tcW w:w="0" w:type="auto"/>
            <w:gridSpan w:val="2"/>
            <w:shd w:val="clear" w:color="auto" w:fill="BDD6EE" w:themeFill="accent5" w:themeFillTint="66"/>
          </w:tcPr>
          <w:p>
            <w:pPr>
              <w:widowControl/>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　</w:t>
            </w:r>
          </w:p>
        </w:tc>
        <w:tc>
          <w:tcPr>
            <w:tcW w:w="0" w:type="auto"/>
            <w:shd w:val="clear" w:color="auto" w:fill="BDD6EE" w:themeFill="accent5" w:themeFillTint="66"/>
          </w:tcPr>
          <w:p>
            <w:pPr>
              <w:widowControl/>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　</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trPr>
        <w:tc>
          <w:tcPr>
            <w:tcW w:w="0" w:type="auto"/>
            <w:gridSpan w:val="6"/>
            <w:tcBorders>
              <w:left w:val="single" w:color="CCE8CF" w:themeColor="background1" w:sz="4" w:space="0"/>
            </w:tcBorders>
            <w:shd w:val="clear" w:color="auto" w:fill="5B9BD5" w:themeFill="accent5"/>
          </w:tcPr>
          <w:p>
            <w:pPr>
              <w:widowControl/>
              <w:rPr>
                <w:rFonts w:ascii="仿宋_GB2312" w:hAnsi="等线" w:eastAsia="仿宋_GB2312" w:cs="宋体"/>
                <w:b/>
                <w:bCs/>
                <w:color w:val="000000"/>
                <w:kern w:val="0"/>
                <w:sz w:val="24"/>
                <w:szCs w:val="24"/>
              </w:rPr>
            </w:pPr>
            <w:r>
              <w:rPr>
                <w:rFonts w:hint="eastAsia" w:ascii="仿宋" w:hAnsi="仿宋" w:eastAsia="仿宋"/>
                <w:b/>
                <w:bCs/>
                <w:color w:val="CCE8CF" w:themeColor="background1"/>
                <w:kern w:val="0"/>
                <w:sz w:val="24"/>
                <w:szCs w:val="24"/>
              </w:rPr>
              <w:t>说明②：请逐一列出师生国（境）外技能大赛获奖</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trPr>
        <w:tc>
          <w:tcPr>
            <w:tcW w:w="0" w:type="auto"/>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序号</w:t>
            </w:r>
          </w:p>
        </w:tc>
        <w:tc>
          <w:tcPr>
            <w:tcW w:w="0" w:type="auto"/>
            <w:shd w:val="clear" w:color="auto" w:fill="BDD6EE" w:themeFill="accent5" w:themeFillTint="66"/>
          </w:tcPr>
          <w:p>
            <w:pPr>
              <w:widowControl/>
              <w:jc w:val="center"/>
              <w:rPr>
                <w:rFonts w:ascii="黑体" w:hAnsi="黑体" w:eastAsia="黑体" w:cs="宋体"/>
                <w:color w:val="000000"/>
                <w:kern w:val="0"/>
                <w:szCs w:val="21"/>
              </w:rPr>
            </w:pPr>
            <w:r>
              <w:rPr>
                <w:rFonts w:hint="eastAsia" w:ascii="黑体" w:hAnsi="黑体" w:eastAsia="黑体" w:cs="宋体"/>
                <w:color w:val="000000"/>
                <w:kern w:val="0"/>
                <w:szCs w:val="21"/>
              </w:rPr>
              <w:t>姓名</w:t>
            </w:r>
          </w:p>
        </w:tc>
        <w:tc>
          <w:tcPr>
            <w:tcW w:w="0" w:type="auto"/>
            <w:shd w:val="clear" w:color="auto" w:fill="BDD6EE" w:themeFill="accent5" w:themeFillTint="66"/>
          </w:tcPr>
          <w:p>
            <w:pPr>
              <w:widowControl/>
              <w:jc w:val="center"/>
              <w:rPr>
                <w:rFonts w:ascii="黑体" w:hAnsi="黑体" w:eastAsia="黑体" w:cs="宋体"/>
                <w:color w:val="000000"/>
                <w:kern w:val="0"/>
                <w:szCs w:val="21"/>
              </w:rPr>
            </w:pPr>
            <w:r>
              <w:rPr>
                <w:rFonts w:hint="eastAsia" w:ascii="黑体" w:hAnsi="黑体" w:eastAsia="黑体" w:cs="宋体"/>
                <w:color w:val="000000"/>
                <w:kern w:val="0"/>
                <w:szCs w:val="21"/>
              </w:rPr>
              <w:t>教师或学生</w:t>
            </w:r>
          </w:p>
        </w:tc>
        <w:tc>
          <w:tcPr>
            <w:tcW w:w="0" w:type="auto"/>
            <w:gridSpan w:val="2"/>
            <w:shd w:val="clear" w:color="auto" w:fill="BDD6EE" w:themeFill="accent5" w:themeFillTint="66"/>
          </w:tcPr>
          <w:p>
            <w:pPr>
              <w:widowControl/>
              <w:jc w:val="center"/>
              <w:rPr>
                <w:rFonts w:ascii="黑体" w:hAnsi="黑体" w:eastAsia="黑体" w:cs="宋体"/>
                <w:color w:val="000000"/>
                <w:kern w:val="0"/>
                <w:szCs w:val="21"/>
              </w:rPr>
            </w:pPr>
            <w:r>
              <w:rPr>
                <w:rFonts w:hint="eastAsia" w:ascii="黑体" w:hAnsi="黑体" w:eastAsia="黑体" w:cs="宋体"/>
                <w:color w:val="000000"/>
                <w:kern w:val="0"/>
                <w:szCs w:val="21"/>
              </w:rPr>
              <w:t>大赛名称</w:t>
            </w:r>
          </w:p>
        </w:tc>
        <w:tc>
          <w:tcPr>
            <w:tcW w:w="0" w:type="auto"/>
            <w:shd w:val="clear" w:color="auto" w:fill="BDD6EE" w:themeFill="accent5" w:themeFillTint="66"/>
          </w:tcPr>
          <w:p>
            <w:pPr>
              <w:widowControl/>
              <w:jc w:val="center"/>
              <w:rPr>
                <w:rFonts w:ascii="黑体" w:hAnsi="黑体" w:eastAsia="黑体" w:cs="宋体"/>
                <w:color w:val="000000"/>
                <w:kern w:val="0"/>
                <w:szCs w:val="21"/>
              </w:rPr>
            </w:pPr>
            <w:r>
              <w:rPr>
                <w:rFonts w:hint="eastAsia" w:ascii="黑体" w:hAnsi="黑体" w:eastAsia="黑体" w:cs="宋体"/>
                <w:color w:val="000000"/>
                <w:kern w:val="0"/>
                <w:szCs w:val="21"/>
              </w:rPr>
              <w:t>获奖等次</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1140" w:hRule="atLeast"/>
        </w:trPr>
        <w:tc>
          <w:tcPr>
            <w:tcW w:w="0" w:type="auto"/>
            <w:tcBorders>
              <w:left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1</w:t>
            </w:r>
          </w:p>
        </w:tc>
        <w:tc>
          <w:tcPr>
            <w:tcW w:w="0" w:type="auto"/>
            <w:shd w:val="clear" w:color="auto" w:fill="DEEAF6" w:themeFill="accent5" w:themeFillTint="33"/>
            <w:vAlign w:val="center"/>
          </w:tcPr>
          <w:p>
            <w:pPr>
              <w:widowControl/>
              <w:jc w:val="center"/>
              <w:rPr>
                <w:rFonts w:ascii="等线" w:hAnsi="等线" w:eastAsia="等线" w:cs="宋体"/>
                <w:color w:val="000000"/>
                <w:kern w:val="0"/>
                <w:sz w:val="22"/>
              </w:rPr>
            </w:pPr>
            <w:r>
              <w:rPr>
                <w:rFonts w:hint="eastAsia" w:ascii="等线" w:hAnsi="等线" w:eastAsia="等线" w:cs="宋体"/>
                <w:color w:val="000000"/>
                <w:kern w:val="0"/>
                <w:sz w:val="22"/>
              </w:rPr>
              <w:t xml:space="preserve">张晶 </w:t>
            </w:r>
            <w:r>
              <w:rPr>
                <w:rFonts w:hint="eastAsia" w:ascii="等线" w:hAnsi="等线" w:eastAsia="等线" w:cs="宋体"/>
                <w:color w:val="000000"/>
                <w:kern w:val="0"/>
                <w:sz w:val="22"/>
              </w:rPr>
              <w:br w:type="textWrapping"/>
            </w:r>
            <w:r>
              <w:rPr>
                <w:rFonts w:hint="eastAsia" w:ascii="等线" w:hAnsi="等线" w:eastAsia="等线" w:cs="宋体"/>
                <w:color w:val="000000"/>
                <w:kern w:val="0"/>
                <w:sz w:val="22"/>
              </w:rPr>
              <w:t>指导老师：江水明</w:t>
            </w:r>
          </w:p>
        </w:tc>
        <w:tc>
          <w:tcPr>
            <w:tcW w:w="0" w:type="auto"/>
            <w:shd w:val="clear" w:color="auto" w:fill="DEEAF6" w:themeFill="accent5" w:themeFillTint="33"/>
            <w:vAlign w:val="center"/>
          </w:tcPr>
          <w:p>
            <w:pPr>
              <w:widowControl/>
              <w:jc w:val="center"/>
              <w:rPr>
                <w:rFonts w:ascii="等线" w:hAnsi="等线" w:eastAsia="等线" w:cs="宋体"/>
                <w:color w:val="000000"/>
                <w:kern w:val="0"/>
                <w:sz w:val="22"/>
              </w:rPr>
            </w:pPr>
            <w:r>
              <w:rPr>
                <w:rFonts w:hint="eastAsia" w:ascii="等线" w:hAnsi="等线" w:eastAsia="等线" w:cs="宋体"/>
                <w:color w:val="000000"/>
                <w:kern w:val="0"/>
                <w:sz w:val="22"/>
              </w:rPr>
              <w:t>学生</w:t>
            </w:r>
          </w:p>
        </w:tc>
        <w:tc>
          <w:tcPr>
            <w:tcW w:w="0" w:type="auto"/>
            <w:gridSpan w:val="2"/>
            <w:shd w:val="clear" w:color="auto" w:fill="DEEAF6" w:themeFill="accent5" w:themeFillTint="33"/>
            <w:vAlign w:val="center"/>
          </w:tcPr>
          <w:p>
            <w:pPr>
              <w:widowControl/>
              <w:jc w:val="center"/>
              <w:rPr>
                <w:rFonts w:ascii="等线" w:hAnsi="等线" w:eastAsia="等线" w:cs="宋体"/>
                <w:color w:val="000000"/>
                <w:kern w:val="0"/>
                <w:sz w:val="22"/>
              </w:rPr>
            </w:pPr>
            <w:r>
              <w:rPr>
                <w:rFonts w:hint="eastAsia" w:ascii="等线" w:hAnsi="等线" w:eastAsia="等线" w:cs="宋体"/>
                <w:color w:val="000000"/>
                <w:kern w:val="0"/>
                <w:sz w:val="22"/>
              </w:rPr>
              <w:t>2022安徒生国际艺术奖大赛</w:t>
            </w:r>
          </w:p>
        </w:tc>
        <w:tc>
          <w:tcPr>
            <w:tcW w:w="0" w:type="auto"/>
            <w:shd w:val="clear" w:color="auto" w:fill="DEEAF6" w:themeFill="accent5" w:themeFillTint="33"/>
            <w:vAlign w:val="center"/>
          </w:tcPr>
          <w:p>
            <w:pPr>
              <w:widowControl/>
              <w:jc w:val="center"/>
              <w:rPr>
                <w:rFonts w:ascii="等线" w:hAnsi="等线" w:eastAsia="等线" w:cs="宋体"/>
                <w:color w:val="000000"/>
                <w:kern w:val="0"/>
                <w:sz w:val="22"/>
              </w:rPr>
            </w:pPr>
            <w:r>
              <w:rPr>
                <w:rFonts w:hint="eastAsia" w:ascii="等线" w:hAnsi="等线" w:eastAsia="等线" w:cs="宋体"/>
                <w:color w:val="000000"/>
                <w:kern w:val="0"/>
                <w:sz w:val="22"/>
              </w:rPr>
              <w:t>金奖</w:t>
            </w:r>
          </w:p>
        </w:tc>
      </w:tr>
      <w:tr>
        <w:tblPrEx>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CellMar>
            <w:top w:w="0" w:type="dxa"/>
            <w:left w:w="108" w:type="dxa"/>
            <w:bottom w:w="0" w:type="dxa"/>
            <w:right w:w="108" w:type="dxa"/>
          </w:tblCellMar>
        </w:tblPrEx>
        <w:trPr>
          <w:trHeight w:val="398" w:hRule="atLeast"/>
        </w:trPr>
        <w:tc>
          <w:tcPr>
            <w:tcW w:w="0" w:type="auto"/>
            <w:tcBorders>
              <w:left w:val="single" w:color="CCE8CF" w:themeColor="background1" w:sz="4" w:space="0"/>
              <w:bottom w:val="single" w:color="CCE8CF" w:themeColor="background1" w:sz="4" w:space="0"/>
            </w:tcBorders>
            <w:shd w:val="clear" w:color="auto" w:fill="5B9BD5" w:themeFill="accent5"/>
            <w:vAlign w:val="center"/>
          </w:tcPr>
          <w:p>
            <w:pPr>
              <w:jc w:val="center"/>
              <w:rPr>
                <w:rFonts w:ascii="仿宋" w:hAnsi="仿宋" w:eastAsia="仿宋"/>
                <w:b w:val="0"/>
                <w:bCs w:val="0"/>
                <w:color w:val="CCE8CF" w:themeColor="background1"/>
                <w:kern w:val="0"/>
                <w:sz w:val="24"/>
                <w:szCs w:val="24"/>
              </w:rPr>
            </w:pPr>
            <w:r>
              <w:rPr>
                <w:rFonts w:hint="eastAsia" w:ascii="仿宋" w:hAnsi="仿宋" w:eastAsia="仿宋"/>
                <w:b/>
                <w:bCs/>
                <w:color w:val="CCE8CF" w:themeColor="background1"/>
                <w:kern w:val="0"/>
                <w:sz w:val="24"/>
                <w:szCs w:val="24"/>
              </w:rPr>
              <w:t>……</w:t>
            </w:r>
          </w:p>
        </w:tc>
        <w:tc>
          <w:tcPr>
            <w:tcW w:w="0" w:type="auto"/>
            <w:shd w:val="clear" w:color="auto" w:fill="BDD6EE" w:themeFill="accent5" w:themeFillTint="66"/>
          </w:tcPr>
          <w:p>
            <w:pPr>
              <w:widowControl/>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　</w:t>
            </w:r>
          </w:p>
        </w:tc>
        <w:tc>
          <w:tcPr>
            <w:tcW w:w="0" w:type="auto"/>
            <w:shd w:val="clear" w:color="auto" w:fill="BDD6EE" w:themeFill="accent5" w:themeFillTint="66"/>
          </w:tcPr>
          <w:p>
            <w:pPr>
              <w:widowControl/>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　</w:t>
            </w:r>
          </w:p>
        </w:tc>
        <w:tc>
          <w:tcPr>
            <w:tcW w:w="0" w:type="auto"/>
            <w:gridSpan w:val="2"/>
            <w:shd w:val="clear" w:color="auto" w:fill="BDD6EE" w:themeFill="accent5" w:themeFillTint="66"/>
          </w:tcPr>
          <w:p>
            <w:pPr>
              <w:widowControl/>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　</w:t>
            </w:r>
          </w:p>
        </w:tc>
        <w:tc>
          <w:tcPr>
            <w:tcW w:w="0" w:type="auto"/>
            <w:shd w:val="clear" w:color="auto" w:fill="BDD6EE" w:themeFill="accent5" w:themeFillTint="66"/>
          </w:tcPr>
          <w:p>
            <w:pPr>
              <w:keepNext/>
              <w:widowControl/>
              <w:rPr>
                <w:rFonts w:ascii="Times New Roman" w:hAnsi="Times New Roman" w:eastAsia="等线" w:cs="Times New Roman"/>
                <w:color w:val="000000"/>
                <w:kern w:val="0"/>
                <w:sz w:val="24"/>
                <w:szCs w:val="24"/>
              </w:rPr>
            </w:pPr>
            <w:r>
              <w:rPr>
                <w:rFonts w:ascii="Times New Roman" w:hAnsi="Times New Roman" w:eastAsia="等线" w:cs="Times New Roman"/>
                <w:color w:val="000000"/>
                <w:kern w:val="0"/>
                <w:sz w:val="24"/>
                <w:szCs w:val="24"/>
              </w:rPr>
              <w:t>　</w:t>
            </w:r>
          </w:p>
        </w:tc>
      </w:tr>
    </w:tbl>
    <w:p>
      <w:pPr>
        <w:pStyle w:val="3"/>
        <w:spacing w:before="0" w:after="0" w:line="360" w:lineRule="auto"/>
        <w:ind w:firstLine="562" w:firstLineChars="200"/>
        <w:rPr>
          <w:rFonts w:ascii="仿宋_GB2312" w:eastAsia="仿宋_GB2312" w:hAnsiTheme="minorEastAsia"/>
          <w:sz w:val="28"/>
          <w:szCs w:val="28"/>
        </w:rPr>
      </w:pPr>
      <w:bookmarkStart w:id="281" w:name="_Toc124087906"/>
      <w:bookmarkStart w:id="282" w:name="_Toc54170355"/>
      <w:bookmarkStart w:id="283" w:name="_Toc533519421"/>
      <w:r>
        <w:rPr>
          <w:rFonts w:hint="eastAsia" w:ascii="仿宋_GB2312" w:eastAsia="仿宋_GB2312" w:hAnsiTheme="minorEastAsia"/>
          <w:sz w:val="28"/>
          <w:szCs w:val="28"/>
        </w:rPr>
        <w:t>4</w:t>
      </w:r>
      <w:r>
        <w:rPr>
          <w:rFonts w:ascii="仿宋_GB2312" w:eastAsia="仿宋_GB2312" w:hAnsiTheme="minorEastAsia"/>
          <w:sz w:val="28"/>
          <w:szCs w:val="28"/>
        </w:rPr>
        <w:t>.</w:t>
      </w:r>
      <w:r>
        <w:rPr>
          <w:rFonts w:hint="eastAsia" w:ascii="仿宋_GB2312" w:eastAsia="仿宋_GB2312" w:hAnsiTheme="minorEastAsia"/>
          <w:sz w:val="28"/>
          <w:szCs w:val="28"/>
        </w:rPr>
        <w:t>1留学生规模</w:t>
      </w:r>
      <w:bookmarkEnd w:id="281"/>
      <w:bookmarkEnd w:id="282"/>
      <w:bookmarkEnd w:id="283"/>
      <w:bookmarkStart w:id="284" w:name="_Toc54170356"/>
      <w:bookmarkStart w:id="285" w:name="_Toc533519422"/>
    </w:p>
    <w:bookmarkEnd w:id="284"/>
    <w:p>
      <w:pPr>
        <w:keepNext/>
        <w:adjustRightInd w:val="0"/>
        <w:snapToGrid w:val="0"/>
        <w:spacing w:line="360" w:lineRule="auto"/>
        <w:ind w:firstLine="560" w:firstLineChars="200"/>
        <w:jc w:val="center"/>
      </w:pPr>
      <w:r>
        <w:rPr>
          <w:rFonts w:hint="eastAsia" w:ascii="仿宋" w:hAnsi="仿宋" w:eastAsia="仿宋"/>
          <w:sz w:val="28"/>
          <w:szCs w:val="28"/>
        </w:rPr>
        <w:t>该校是江苏省政府确定的“扩大来华留学生规模”教育综合改革试点项目院校，被评为“江苏省教育国际合作交流先进学校”、“留学江苏目标学校”，学校外国留学生人数在全省民办高职院校中名列前茅。本部国际学院自2018年9月开始接受留学生，学生主要来自西印度大学牙买加莫纳校区和巴巴多斯的凯夫希尔校区。2018年28名；2019年10名；2020年12名； 2021年6名；2022年8名。因疫情原因，后两批学生暂时无法来校，开展网络教学。2020年7月，首批学生完成在高博的学业顺利毕业。2022年第三届留学生毕业。</w:t>
      </w:r>
      <w:r>
        <w:rPr>
          <w:rFonts w:ascii="仿宋_GB2312" w:eastAsia="仿宋_GB2312" w:hAnsiTheme="minorEastAsia"/>
          <w:b/>
          <w:sz w:val="24"/>
          <w:szCs w:val="24"/>
        </w:rPr>
        <w:drawing>
          <wp:inline distT="0" distB="0" distL="0" distR="0">
            <wp:extent cx="4759325" cy="3161030"/>
            <wp:effectExtent l="0" t="0" r="0" b="0"/>
            <wp:docPr id="17" name="图片 17" descr="C:\Users\Administrator\Desktop\2020质量报告\新照片\IMG_69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C:\Users\Administrator\Desktop\2020质量报告\新照片\IMG_6914.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4773038" cy="3170558"/>
                    </a:xfrm>
                    <a:prstGeom prst="rect">
                      <a:avLst/>
                    </a:prstGeom>
                    <a:noFill/>
                    <a:ln>
                      <a:noFill/>
                    </a:ln>
                  </pic:spPr>
                </pic:pic>
              </a:graphicData>
            </a:graphic>
          </wp:inline>
        </w:drawing>
      </w:r>
    </w:p>
    <w:p>
      <w:pPr>
        <w:widowControl/>
        <w:spacing w:after="156" w:afterLines="50" w:line="360" w:lineRule="auto"/>
        <w:jc w:val="center"/>
        <w:rPr>
          <w:rFonts w:ascii="仿宋_GB2312" w:eastAsia="仿宋_GB2312"/>
          <w:b/>
          <w:sz w:val="24"/>
          <w:szCs w:val="24"/>
        </w:rPr>
      </w:pPr>
      <w:bookmarkStart w:id="286" w:name="_Toc124169707"/>
      <w:r>
        <w:rPr>
          <w:rFonts w:hint="eastAsia" w:ascii="仿宋_GB2312" w:eastAsia="仿宋_GB2312"/>
          <w:b/>
          <w:sz w:val="24"/>
          <w:szCs w:val="24"/>
        </w:rPr>
        <w:t xml:space="preserve">图4. </w:t>
      </w:r>
      <w:r>
        <w:rPr>
          <w:rFonts w:ascii="仿宋_GB2312" w:eastAsia="仿宋_GB2312"/>
          <w:b/>
          <w:sz w:val="24"/>
          <w:szCs w:val="24"/>
        </w:rPr>
        <w:fldChar w:fldCharType="begin"/>
      </w:r>
      <w:r>
        <w:rPr>
          <w:rFonts w:ascii="仿宋_GB2312" w:eastAsia="仿宋_GB2312"/>
          <w:b/>
          <w:sz w:val="24"/>
          <w:szCs w:val="24"/>
        </w:rPr>
        <w:instrText xml:space="preserve"> </w:instrText>
      </w:r>
      <w:r>
        <w:rPr>
          <w:rFonts w:hint="eastAsia" w:ascii="仿宋_GB2312" w:eastAsia="仿宋_GB2312"/>
          <w:b/>
          <w:sz w:val="24"/>
          <w:szCs w:val="24"/>
        </w:rPr>
        <w:instrText xml:space="preserve">SEQ 图4. \* ARABIC</w:instrText>
      </w:r>
      <w:r>
        <w:rPr>
          <w:rFonts w:ascii="仿宋_GB2312" w:eastAsia="仿宋_GB2312"/>
          <w:b/>
          <w:sz w:val="24"/>
          <w:szCs w:val="24"/>
        </w:rPr>
        <w:instrText xml:space="preserve"> </w:instrText>
      </w:r>
      <w:r>
        <w:rPr>
          <w:rFonts w:ascii="仿宋_GB2312" w:eastAsia="仿宋_GB2312"/>
          <w:b/>
          <w:sz w:val="24"/>
          <w:szCs w:val="24"/>
        </w:rPr>
        <w:fldChar w:fldCharType="separate"/>
      </w:r>
      <w:r>
        <w:rPr>
          <w:rFonts w:ascii="仿宋_GB2312" w:eastAsia="仿宋_GB2312"/>
          <w:b/>
          <w:sz w:val="24"/>
          <w:szCs w:val="24"/>
        </w:rPr>
        <w:t>1</w:t>
      </w:r>
      <w:r>
        <w:rPr>
          <w:rFonts w:ascii="仿宋_GB2312" w:eastAsia="仿宋_GB2312"/>
          <w:b/>
          <w:sz w:val="24"/>
          <w:szCs w:val="24"/>
        </w:rPr>
        <w:fldChar w:fldCharType="end"/>
      </w:r>
      <w:bookmarkStart w:id="287" w:name="_Hlk121993261"/>
      <w:r>
        <w:rPr>
          <w:rFonts w:hint="eastAsia" w:ascii="仿宋_GB2312" w:eastAsia="仿宋_GB2312"/>
          <w:b/>
          <w:sz w:val="24"/>
          <w:szCs w:val="24"/>
        </w:rPr>
        <w:t xml:space="preserve"> 巴巴多斯驻华大使杰克曼来访</w:t>
      </w:r>
      <w:bookmarkEnd w:id="286"/>
    </w:p>
    <w:bookmarkEnd w:id="287"/>
    <w:p>
      <w:pPr>
        <w:pStyle w:val="3"/>
        <w:spacing w:before="0" w:after="0" w:line="360" w:lineRule="auto"/>
        <w:ind w:firstLine="562" w:firstLineChars="200"/>
        <w:rPr>
          <w:rFonts w:ascii="仿宋_GB2312" w:eastAsia="仿宋_GB2312" w:hAnsiTheme="minorEastAsia"/>
          <w:sz w:val="28"/>
          <w:szCs w:val="28"/>
        </w:rPr>
      </w:pPr>
      <w:bookmarkStart w:id="288" w:name="_Toc54170363"/>
      <w:bookmarkStart w:id="289" w:name="_Toc124087907"/>
      <w:r>
        <w:rPr>
          <w:rFonts w:hint="eastAsia" w:ascii="仿宋_GB2312" w:eastAsia="仿宋_GB2312" w:hAnsiTheme="minorEastAsia"/>
          <w:sz w:val="28"/>
          <w:szCs w:val="28"/>
        </w:rPr>
        <w:t>4.2中外合作项目</w:t>
      </w:r>
      <w:bookmarkEnd w:id="285"/>
      <w:bookmarkEnd w:id="288"/>
      <w:bookmarkEnd w:id="289"/>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目前，该校与西印度大学(The University of the West Indies)合作举办西印度大学“中国信息工程”学院，接受该院学生来校学习的项目还在持续，受疫情影响，其他的合作项目均处在暂停状态。“中国信息工程”学院是为了配合国家“走出去”发展战略，服务国家“一带一路”战略，开辟“中国-拉美教育丝绸之路”，增进中国与加勒比地区人民的友谊，推动相互间经济、科技、教育的发展。目前，已有了五年招生和三届毕业生（见案例11）。</w:t>
      </w:r>
    </w:p>
    <w:p>
      <w:pPr>
        <w:adjustRightInd w:val="0"/>
        <w:snapToGrid w:val="0"/>
        <w:spacing w:line="360" w:lineRule="auto"/>
        <w:ind w:firstLine="560" w:firstLineChars="200"/>
        <w:rPr>
          <w:rFonts w:ascii="仿宋" w:hAnsi="仿宋" w:eastAsia="仿宋"/>
          <w:sz w:val="28"/>
          <w:szCs w:val="28"/>
        </w:rPr>
      </w:pPr>
    </w:p>
    <w:p>
      <w:pPr>
        <w:adjustRightInd w:val="0"/>
        <w:snapToGrid w:val="0"/>
        <w:spacing w:line="360" w:lineRule="auto"/>
        <w:ind w:firstLine="482" w:firstLineChars="200"/>
        <w:outlineLvl w:val="2"/>
        <w:rPr>
          <w:rFonts w:ascii="仿宋_GB2312" w:hAnsi="宋体" w:eastAsia="仿宋_GB2312"/>
          <w:b/>
          <w:color w:val="000000" w:themeColor="text1"/>
          <w:sz w:val="24"/>
          <w:szCs w:val="24"/>
        </w:rPr>
      </w:pPr>
      <w:bookmarkStart w:id="290" w:name="_Toc124087908"/>
      <w:r>
        <w:rPr>
          <w:rFonts w:hint="eastAsia" w:ascii="仿宋_GB2312" w:hAnsi="宋体" w:eastAsia="仿宋_GB2312"/>
          <w:b/>
          <w:color w:val="000000" w:themeColor="text1"/>
          <w:sz w:val="24"/>
          <w:szCs w:val="24"/>
        </w:rPr>
        <w:t>案例1</w:t>
      </w:r>
      <w:r>
        <w:rPr>
          <w:rFonts w:ascii="仿宋_GB2312" w:hAnsi="宋体" w:eastAsia="仿宋_GB2312"/>
          <w:b/>
          <w:color w:val="000000" w:themeColor="text1"/>
          <w:sz w:val="24"/>
          <w:szCs w:val="24"/>
        </w:rPr>
        <w:t>1</w:t>
      </w:r>
      <w:r>
        <w:rPr>
          <w:rFonts w:hint="eastAsia" w:ascii="仿宋_GB2312" w:hAnsi="宋体" w:eastAsia="仿宋_GB2312"/>
          <w:b/>
          <w:color w:val="000000" w:themeColor="text1"/>
          <w:sz w:val="24"/>
          <w:szCs w:val="24"/>
        </w:rPr>
        <w:t>：</w:t>
      </w:r>
      <w:bookmarkEnd w:id="276"/>
      <w:bookmarkStart w:id="291" w:name="_Toc119932720"/>
      <w:r>
        <w:rPr>
          <w:rFonts w:hint="eastAsia" w:ascii="仿宋_GB2312" w:hAnsi="宋体" w:eastAsia="仿宋_GB2312"/>
          <w:b/>
          <w:color w:val="000000" w:themeColor="text1"/>
          <w:sz w:val="24"/>
          <w:szCs w:val="24"/>
        </w:rPr>
        <w:t>【疫情挑战下的国际人才合作培养】</w:t>
      </w:r>
      <w:bookmarkEnd w:id="290"/>
      <w:bookmarkEnd w:id="291"/>
    </w:p>
    <w:p>
      <w:pPr>
        <w:widowControl/>
        <w:spacing w:line="360" w:lineRule="auto"/>
        <w:ind w:firstLine="480" w:firstLineChars="200"/>
        <w:rPr>
          <w:rFonts w:ascii="楷体_GB2312" w:hAnsi="宋体" w:eastAsia="楷体_GB2312" w:cs="Times New Roman"/>
          <w:color w:val="000000" w:themeColor="text1"/>
          <w:kern w:val="0"/>
          <w:sz w:val="24"/>
          <w:szCs w:val="24"/>
        </w:rPr>
      </w:pPr>
      <w:r>
        <w:rPr>
          <w:rFonts w:hint="eastAsia" w:ascii="楷体_GB2312" w:hAnsi="宋体" w:eastAsia="楷体_GB2312" w:cs="Times New Roman"/>
          <w:color w:val="000000" w:themeColor="text1"/>
          <w:kern w:val="0"/>
          <w:sz w:val="24"/>
          <w:szCs w:val="24"/>
        </w:rPr>
        <w:t>该校国际学院自</w:t>
      </w:r>
      <w:r>
        <w:rPr>
          <w:rFonts w:ascii="楷体_GB2312" w:hAnsi="宋体" w:eastAsia="楷体_GB2312" w:cs="Times New Roman"/>
          <w:color w:val="000000" w:themeColor="text1"/>
          <w:kern w:val="0"/>
          <w:sz w:val="24"/>
          <w:szCs w:val="24"/>
        </w:rPr>
        <w:t>2020年起积极响应国家“停课不停学”的倡导，探索符合来华留学生实际情况的教学模式、课程资源建设和实践教学。面对时差、学生分散等诸多困难，</w:t>
      </w:r>
      <w:r>
        <w:rPr>
          <w:rFonts w:hint="eastAsia" w:ascii="楷体_GB2312" w:hAnsi="宋体" w:eastAsia="楷体_GB2312" w:cs="Times New Roman"/>
          <w:color w:val="000000" w:themeColor="text1"/>
          <w:kern w:val="0"/>
          <w:sz w:val="24"/>
          <w:szCs w:val="24"/>
        </w:rPr>
        <w:t>他们</w:t>
      </w:r>
      <w:r>
        <w:rPr>
          <w:rFonts w:ascii="楷体_GB2312" w:hAnsi="宋体" w:eastAsia="楷体_GB2312" w:cs="Times New Roman"/>
          <w:color w:val="000000" w:themeColor="text1"/>
          <w:kern w:val="0"/>
          <w:sz w:val="24"/>
          <w:szCs w:val="24"/>
        </w:rPr>
        <w:t>采取了一系列措施保证线上教学和管理工作顺利开展。首先，提高教师网络化授课水平，推进线上教育教学资源建设与应用，教师秉持以学生为本的理念，丰富授课语言，努力将线下课堂内容不打折扣地在线上传递给学生。第二，积极加强课堂管理，提高留学生学习的参与性和积极性。课前要求学生按时出勤，因故缺勤需提前报备，课中建议教师根据课程内容增加师生互动环节，鼓励学生思考和发言，</w:t>
      </w:r>
      <w:r>
        <w:rPr>
          <w:rFonts w:hint="eastAsia" w:ascii="楷体_GB2312" w:hAnsi="宋体" w:eastAsia="楷体_GB2312" w:cs="Times New Roman"/>
          <w:color w:val="000000" w:themeColor="text1"/>
          <w:kern w:val="0"/>
          <w:sz w:val="24"/>
          <w:szCs w:val="24"/>
        </w:rPr>
        <w:t>课后严格要求学生按时提交作业并记录平时成绩。第三，突破语言和时差障碍，保证线上实习有序进行。该校留学生管理科、留学生及企业三方建立了专门的实习工作群，每周组织“企业</w:t>
      </w:r>
      <w:r>
        <w:rPr>
          <w:rFonts w:ascii="楷体_GB2312" w:hAnsi="宋体" w:eastAsia="楷体_GB2312" w:cs="Times New Roman"/>
          <w:color w:val="000000" w:themeColor="text1"/>
          <w:kern w:val="0"/>
          <w:sz w:val="24"/>
          <w:szCs w:val="24"/>
        </w:rPr>
        <w:t>-留学生”的实习协调会，由管理科工作人员作为翻译及时对接企业和学生，解决线上实习面临的各种问题</w:t>
      </w:r>
      <w:r>
        <w:rPr>
          <w:rFonts w:hint="eastAsia" w:ascii="楷体_GB2312" w:hAnsi="宋体" w:eastAsia="楷体_GB2312" w:cs="Times New Roman"/>
          <w:color w:val="000000" w:themeColor="text1"/>
          <w:kern w:val="0"/>
          <w:sz w:val="24"/>
          <w:szCs w:val="24"/>
        </w:rPr>
        <w:t>，正是</w:t>
      </w:r>
      <w:r>
        <w:rPr>
          <w:rFonts w:ascii="楷体_GB2312" w:hAnsi="宋体" w:eastAsia="楷体_GB2312" w:cs="Times New Roman"/>
          <w:color w:val="000000" w:themeColor="text1"/>
          <w:kern w:val="0"/>
          <w:sz w:val="24"/>
          <w:szCs w:val="24"/>
        </w:rPr>
        <w:t>精心</w:t>
      </w:r>
      <w:r>
        <w:rPr>
          <w:rFonts w:hint="eastAsia" w:ascii="楷体_GB2312" w:hAnsi="宋体" w:eastAsia="楷体_GB2312" w:cs="Times New Roman"/>
          <w:color w:val="000000" w:themeColor="text1"/>
          <w:kern w:val="0"/>
          <w:sz w:val="24"/>
          <w:szCs w:val="24"/>
        </w:rPr>
        <w:t>的</w:t>
      </w:r>
      <w:r>
        <w:rPr>
          <w:rFonts w:ascii="楷体_GB2312" w:hAnsi="宋体" w:eastAsia="楷体_GB2312" w:cs="Times New Roman"/>
          <w:color w:val="000000" w:themeColor="text1"/>
          <w:kern w:val="0"/>
          <w:sz w:val="24"/>
          <w:szCs w:val="24"/>
        </w:rPr>
        <w:t>组织和安排，</w:t>
      </w:r>
      <w:r>
        <w:rPr>
          <w:rFonts w:hint="eastAsia" w:ascii="楷体_GB2312" w:hAnsi="宋体" w:eastAsia="楷体_GB2312" w:cs="Times New Roman"/>
          <w:color w:val="000000" w:themeColor="text1"/>
          <w:kern w:val="0"/>
          <w:sz w:val="24"/>
          <w:szCs w:val="24"/>
        </w:rPr>
        <w:t>保证了</w:t>
      </w:r>
      <w:r>
        <w:rPr>
          <w:rFonts w:ascii="楷体_GB2312" w:hAnsi="宋体" w:eastAsia="楷体_GB2312" w:cs="Times New Roman"/>
          <w:color w:val="000000" w:themeColor="text1"/>
          <w:kern w:val="0"/>
          <w:sz w:val="24"/>
          <w:szCs w:val="24"/>
        </w:rPr>
        <w:t>留学生在中国企业线上</w:t>
      </w:r>
      <w:r>
        <w:rPr>
          <w:rFonts w:hint="eastAsia" w:ascii="楷体_GB2312" w:hAnsi="宋体" w:eastAsia="楷体_GB2312" w:cs="Times New Roman"/>
          <w:color w:val="000000" w:themeColor="text1"/>
          <w:kern w:val="0"/>
          <w:sz w:val="24"/>
          <w:szCs w:val="24"/>
        </w:rPr>
        <w:t>的</w:t>
      </w:r>
      <w:r>
        <w:rPr>
          <w:rFonts w:ascii="楷体_GB2312" w:hAnsi="宋体" w:eastAsia="楷体_GB2312" w:cs="Times New Roman"/>
          <w:color w:val="000000" w:themeColor="text1"/>
          <w:kern w:val="0"/>
          <w:sz w:val="24"/>
          <w:szCs w:val="24"/>
        </w:rPr>
        <w:t>实习圆满完成。</w:t>
      </w:r>
      <w:r>
        <w:rPr>
          <w:rFonts w:hint="eastAsia" w:ascii="楷体_GB2312" w:hAnsi="宋体" w:eastAsia="楷体_GB2312" w:cs="Times New Roman"/>
          <w:color w:val="000000" w:themeColor="text1"/>
          <w:kern w:val="0"/>
          <w:sz w:val="24"/>
          <w:szCs w:val="24"/>
        </w:rPr>
        <w:t>该校和加勒比地区的西印度大学（</w:t>
      </w:r>
      <w:r>
        <w:rPr>
          <w:rFonts w:ascii="楷体_GB2312" w:hAnsi="宋体" w:eastAsia="楷体_GB2312" w:cs="Times New Roman"/>
          <w:color w:val="000000" w:themeColor="text1"/>
          <w:kern w:val="0"/>
          <w:sz w:val="24"/>
          <w:szCs w:val="24"/>
        </w:rPr>
        <w:t>The University of the West Indies）合作建设的“中国信息工程学院”，自2018年8月启动以来，现已招生5届，毕业3届（见图4.2</w:t>
      </w:r>
      <w:r>
        <w:rPr>
          <w:rFonts w:hint="eastAsia" w:ascii="楷体_GB2312" w:hAnsi="宋体" w:eastAsia="楷体_GB2312" w:cs="Times New Roman"/>
          <w:color w:val="000000" w:themeColor="text1"/>
          <w:kern w:val="0"/>
          <w:sz w:val="24"/>
          <w:szCs w:val="24"/>
        </w:rPr>
        <w:t>、</w:t>
      </w:r>
      <w:r>
        <w:rPr>
          <w:rFonts w:ascii="楷体_GB2312" w:hAnsi="宋体" w:eastAsia="楷体_GB2312" w:cs="Times New Roman"/>
          <w:color w:val="000000" w:themeColor="text1"/>
          <w:kern w:val="0"/>
          <w:sz w:val="24"/>
          <w:szCs w:val="24"/>
        </w:rPr>
        <w:t>4.3）， 64名留学生相继走进了高博国际学院。</w:t>
      </w:r>
      <w:r>
        <w:rPr>
          <w:rFonts w:hint="eastAsia" w:ascii="楷体_GB2312" w:hAnsi="宋体" w:eastAsia="楷体_GB2312" w:cs="Times New Roman"/>
          <w:color w:val="000000" w:themeColor="text1"/>
          <w:kern w:val="0"/>
          <w:sz w:val="24"/>
          <w:szCs w:val="24"/>
        </w:rPr>
        <w:t>即使面对</w:t>
      </w:r>
      <w:r>
        <w:rPr>
          <w:rFonts w:ascii="楷体_GB2312" w:hAnsi="宋体" w:eastAsia="楷体_GB2312" w:cs="Times New Roman"/>
          <w:color w:val="000000" w:themeColor="text1"/>
          <w:kern w:val="0"/>
          <w:sz w:val="24"/>
          <w:szCs w:val="24"/>
        </w:rPr>
        <w:t>疫情</w:t>
      </w:r>
      <w:r>
        <w:rPr>
          <w:rFonts w:hint="eastAsia" w:ascii="楷体_GB2312" w:hAnsi="宋体" w:eastAsia="楷体_GB2312" w:cs="Times New Roman"/>
          <w:color w:val="000000" w:themeColor="text1"/>
          <w:kern w:val="0"/>
          <w:sz w:val="24"/>
          <w:szCs w:val="24"/>
        </w:rPr>
        <w:t>干扰</w:t>
      </w:r>
      <w:r>
        <w:rPr>
          <w:rFonts w:ascii="楷体_GB2312" w:hAnsi="宋体" w:eastAsia="楷体_GB2312" w:cs="Times New Roman"/>
          <w:color w:val="000000" w:themeColor="text1"/>
          <w:kern w:val="0"/>
          <w:sz w:val="24"/>
          <w:szCs w:val="24"/>
        </w:rPr>
        <w:t>，</w:t>
      </w:r>
      <w:r>
        <w:rPr>
          <w:rFonts w:hint="eastAsia" w:ascii="楷体_GB2312" w:hAnsi="宋体" w:eastAsia="楷体_GB2312" w:cs="Times New Roman"/>
          <w:color w:val="000000" w:themeColor="text1"/>
          <w:kern w:val="0"/>
          <w:sz w:val="24"/>
          <w:szCs w:val="24"/>
        </w:rPr>
        <w:t>该校也是</w:t>
      </w:r>
      <w:r>
        <w:rPr>
          <w:rFonts w:ascii="楷体_GB2312" w:hAnsi="宋体" w:eastAsia="楷体_GB2312" w:cs="Times New Roman"/>
          <w:color w:val="000000" w:themeColor="text1"/>
          <w:kern w:val="0"/>
          <w:sz w:val="24"/>
          <w:szCs w:val="24"/>
        </w:rPr>
        <w:t>采取线上线下相结合的方式，</w:t>
      </w:r>
      <w:r>
        <w:rPr>
          <w:rFonts w:hint="eastAsia" w:ascii="楷体_GB2312" w:hAnsi="宋体" w:eastAsia="楷体_GB2312" w:cs="Times New Roman"/>
          <w:color w:val="000000" w:themeColor="text1"/>
          <w:kern w:val="0"/>
          <w:sz w:val="24"/>
          <w:szCs w:val="24"/>
        </w:rPr>
        <w:t>努力做好国际交流工作</w:t>
      </w:r>
      <w:r>
        <w:rPr>
          <w:rFonts w:ascii="楷体_GB2312" w:hAnsi="宋体" w:eastAsia="楷体_GB2312" w:cs="Times New Roman"/>
          <w:color w:val="000000" w:themeColor="text1"/>
          <w:kern w:val="0"/>
          <w:sz w:val="24"/>
          <w:szCs w:val="24"/>
        </w:rPr>
        <w:t>，为加勒比共同体国家培养信息技术应用型人才做出贡献。</w:t>
      </w:r>
    </w:p>
    <w:p>
      <w:pPr>
        <w:ind w:firstLine="420" w:firstLineChars="200"/>
        <w:jc w:val="center"/>
      </w:pPr>
      <w:r>
        <w:drawing>
          <wp:inline distT="0" distB="0" distL="0" distR="0">
            <wp:extent cx="3141345" cy="1718310"/>
            <wp:effectExtent l="0" t="0" r="190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3154810" cy="1725536"/>
                    </a:xfrm>
                    <a:prstGeom prst="rect">
                      <a:avLst/>
                    </a:prstGeom>
                    <a:noFill/>
                    <a:ln>
                      <a:noFill/>
                    </a:ln>
                  </pic:spPr>
                </pic:pic>
              </a:graphicData>
            </a:graphic>
          </wp:inline>
        </w:drawing>
      </w:r>
    </w:p>
    <w:p>
      <w:pPr>
        <w:widowControl/>
        <w:spacing w:after="156" w:afterLines="50" w:line="360" w:lineRule="auto"/>
        <w:jc w:val="center"/>
        <w:rPr>
          <w:rFonts w:ascii="仿宋_GB2312" w:eastAsia="仿宋_GB2312"/>
          <w:b/>
          <w:sz w:val="24"/>
          <w:szCs w:val="24"/>
        </w:rPr>
      </w:pPr>
      <w:bookmarkStart w:id="292" w:name="_Toc124169708"/>
      <w:bookmarkStart w:id="293" w:name="_Hlk121993280"/>
      <w:r>
        <w:rPr>
          <w:rFonts w:hint="eastAsia" w:ascii="仿宋_GB2312" w:eastAsia="仿宋_GB2312"/>
          <w:b/>
          <w:sz w:val="24"/>
          <w:szCs w:val="24"/>
        </w:rPr>
        <w:t xml:space="preserve">图4. </w:t>
      </w:r>
      <w:r>
        <w:rPr>
          <w:rFonts w:ascii="仿宋_GB2312" w:eastAsia="仿宋_GB2312"/>
          <w:b/>
          <w:sz w:val="24"/>
          <w:szCs w:val="24"/>
        </w:rPr>
        <w:fldChar w:fldCharType="begin"/>
      </w:r>
      <w:r>
        <w:rPr>
          <w:rFonts w:ascii="仿宋_GB2312" w:eastAsia="仿宋_GB2312"/>
          <w:b/>
          <w:sz w:val="24"/>
          <w:szCs w:val="24"/>
        </w:rPr>
        <w:instrText xml:space="preserve"> </w:instrText>
      </w:r>
      <w:r>
        <w:rPr>
          <w:rFonts w:hint="eastAsia" w:ascii="仿宋_GB2312" w:eastAsia="仿宋_GB2312"/>
          <w:b/>
          <w:sz w:val="24"/>
          <w:szCs w:val="24"/>
        </w:rPr>
        <w:instrText xml:space="preserve">SEQ 图4. \* ARABIC</w:instrText>
      </w:r>
      <w:r>
        <w:rPr>
          <w:rFonts w:ascii="仿宋_GB2312" w:eastAsia="仿宋_GB2312"/>
          <w:b/>
          <w:sz w:val="24"/>
          <w:szCs w:val="24"/>
        </w:rPr>
        <w:instrText xml:space="preserve"> </w:instrText>
      </w:r>
      <w:r>
        <w:rPr>
          <w:rFonts w:ascii="仿宋_GB2312" w:eastAsia="仿宋_GB2312"/>
          <w:b/>
          <w:sz w:val="24"/>
          <w:szCs w:val="24"/>
        </w:rPr>
        <w:fldChar w:fldCharType="separate"/>
      </w:r>
      <w:r>
        <w:rPr>
          <w:rFonts w:ascii="仿宋_GB2312" w:eastAsia="仿宋_GB2312"/>
          <w:b/>
          <w:sz w:val="24"/>
          <w:szCs w:val="24"/>
        </w:rPr>
        <w:t>2</w:t>
      </w:r>
      <w:r>
        <w:rPr>
          <w:rFonts w:ascii="仿宋_GB2312" w:eastAsia="仿宋_GB2312"/>
          <w:b/>
          <w:sz w:val="24"/>
          <w:szCs w:val="24"/>
        </w:rPr>
        <w:fldChar w:fldCharType="end"/>
      </w:r>
      <w:r>
        <w:rPr>
          <w:rFonts w:ascii="仿宋_GB2312" w:eastAsia="仿宋_GB2312"/>
          <w:b/>
          <w:sz w:val="24"/>
          <w:szCs w:val="24"/>
        </w:rPr>
        <w:t xml:space="preserve"> </w:t>
      </w:r>
      <w:r>
        <w:rPr>
          <w:rFonts w:hint="eastAsia" w:ascii="仿宋_GB2312" w:eastAsia="仿宋_GB2312"/>
          <w:b/>
          <w:sz w:val="24"/>
          <w:szCs w:val="24"/>
        </w:rPr>
        <w:t>留学生在高博举行毕业典礼（2</w:t>
      </w:r>
      <w:r>
        <w:rPr>
          <w:rFonts w:ascii="仿宋_GB2312" w:eastAsia="仿宋_GB2312"/>
          <w:b/>
          <w:sz w:val="24"/>
          <w:szCs w:val="24"/>
        </w:rPr>
        <w:t>021</w:t>
      </w:r>
      <w:r>
        <w:rPr>
          <w:rFonts w:hint="eastAsia" w:ascii="仿宋_GB2312" w:eastAsia="仿宋_GB2312"/>
          <w:b/>
          <w:sz w:val="24"/>
          <w:szCs w:val="24"/>
        </w:rPr>
        <w:t>年6月）</w:t>
      </w:r>
      <w:bookmarkEnd w:id="292"/>
    </w:p>
    <w:bookmarkEnd w:id="293"/>
    <w:p>
      <w:pPr>
        <w:ind w:firstLine="420" w:firstLineChars="200"/>
        <w:jc w:val="center"/>
      </w:pPr>
      <w:r>
        <w:drawing>
          <wp:inline distT="0" distB="0" distL="0" distR="0">
            <wp:extent cx="1872615" cy="2490470"/>
            <wp:effectExtent l="0" t="0" r="0" b="508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892346" cy="2516368"/>
                    </a:xfrm>
                    <a:prstGeom prst="rect">
                      <a:avLst/>
                    </a:prstGeom>
                    <a:noFill/>
                    <a:ln>
                      <a:noFill/>
                    </a:ln>
                  </pic:spPr>
                </pic:pic>
              </a:graphicData>
            </a:graphic>
          </wp:inline>
        </w:drawing>
      </w:r>
    </w:p>
    <w:p>
      <w:pPr>
        <w:ind w:firstLine="420" w:firstLineChars="200"/>
        <w:jc w:val="center"/>
      </w:pPr>
    </w:p>
    <w:p>
      <w:pPr>
        <w:widowControl/>
        <w:spacing w:after="156" w:afterLines="50" w:line="360" w:lineRule="auto"/>
        <w:jc w:val="center"/>
        <w:rPr>
          <w:rFonts w:ascii="仿宋_GB2312" w:eastAsia="仿宋_GB2312"/>
          <w:b/>
          <w:sz w:val="24"/>
          <w:szCs w:val="24"/>
        </w:rPr>
      </w:pPr>
      <w:bookmarkStart w:id="294" w:name="_Toc124169709"/>
      <w:bookmarkStart w:id="295" w:name="_Hlk121993297"/>
      <w:r>
        <w:rPr>
          <w:rFonts w:hint="eastAsia" w:ascii="仿宋_GB2312" w:eastAsia="仿宋_GB2312"/>
          <w:b/>
          <w:sz w:val="24"/>
          <w:szCs w:val="24"/>
        </w:rPr>
        <w:t>图</w:t>
      </w:r>
      <w:bookmarkStart w:id="296" w:name="_Hlk124258493"/>
      <w:r>
        <w:rPr>
          <w:rFonts w:hint="eastAsia" w:ascii="仿宋_GB2312" w:eastAsia="仿宋_GB2312"/>
          <w:b/>
          <w:sz w:val="24"/>
          <w:szCs w:val="24"/>
        </w:rPr>
        <w:t xml:space="preserve">4. </w:t>
      </w:r>
      <w:r>
        <w:rPr>
          <w:rFonts w:ascii="仿宋_GB2312" w:eastAsia="仿宋_GB2312"/>
          <w:b/>
          <w:sz w:val="24"/>
          <w:szCs w:val="24"/>
        </w:rPr>
        <w:fldChar w:fldCharType="begin"/>
      </w:r>
      <w:r>
        <w:rPr>
          <w:rFonts w:ascii="仿宋_GB2312" w:eastAsia="仿宋_GB2312"/>
          <w:b/>
          <w:sz w:val="24"/>
          <w:szCs w:val="24"/>
        </w:rPr>
        <w:instrText xml:space="preserve"> </w:instrText>
      </w:r>
      <w:r>
        <w:rPr>
          <w:rFonts w:hint="eastAsia" w:ascii="仿宋_GB2312" w:eastAsia="仿宋_GB2312"/>
          <w:b/>
          <w:sz w:val="24"/>
          <w:szCs w:val="24"/>
        </w:rPr>
        <w:instrText xml:space="preserve">SEQ 图4. \* ARABIC</w:instrText>
      </w:r>
      <w:r>
        <w:rPr>
          <w:rFonts w:ascii="仿宋_GB2312" w:eastAsia="仿宋_GB2312"/>
          <w:b/>
          <w:sz w:val="24"/>
          <w:szCs w:val="24"/>
        </w:rPr>
        <w:instrText xml:space="preserve"> </w:instrText>
      </w:r>
      <w:r>
        <w:rPr>
          <w:rFonts w:ascii="仿宋_GB2312" w:eastAsia="仿宋_GB2312"/>
          <w:b/>
          <w:sz w:val="24"/>
          <w:szCs w:val="24"/>
        </w:rPr>
        <w:fldChar w:fldCharType="separate"/>
      </w:r>
      <w:r>
        <w:rPr>
          <w:rFonts w:ascii="仿宋_GB2312" w:eastAsia="仿宋_GB2312"/>
          <w:b/>
          <w:sz w:val="24"/>
          <w:szCs w:val="24"/>
        </w:rPr>
        <w:t>3</w:t>
      </w:r>
      <w:r>
        <w:rPr>
          <w:rFonts w:ascii="仿宋_GB2312" w:eastAsia="仿宋_GB2312"/>
          <w:b/>
          <w:sz w:val="24"/>
          <w:szCs w:val="24"/>
        </w:rPr>
        <w:fldChar w:fldCharType="end"/>
      </w:r>
      <w:bookmarkEnd w:id="296"/>
      <w:r>
        <w:rPr>
          <w:rFonts w:ascii="仿宋_GB2312" w:eastAsia="仿宋_GB2312"/>
          <w:b/>
          <w:sz w:val="24"/>
          <w:szCs w:val="24"/>
        </w:rPr>
        <w:t xml:space="preserve"> </w:t>
      </w:r>
      <w:r>
        <w:rPr>
          <w:rFonts w:hint="eastAsia" w:ascii="仿宋_GB2312" w:eastAsia="仿宋_GB2312"/>
          <w:b/>
          <w:sz w:val="24"/>
          <w:szCs w:val="24"/>
        </w:rPr>
        <w:t>留学生在西印度大学举行毕业典礼（2</w:t>
      </w:r>
      <w:r>
        <w:rPr>
          <w:rFonts w:ascii="仿宋_GB2312" w:eastAsia="仿宋_GB2312"/>
          <w:b/>
          <w:sz w:val="24"/>
          <w:szCs w:val="24"/>
        </w:rPr>
        <w:t>022</w:t>
      </w:r>
      <w:r>
        <w:rPr>
          <w:rFonts w:hint="eastAsia" w:ascii="仿宋_GB2312" w:eastAsia="仿宋_GB2312"/>
          <w:b/>
          <w:sz w:val="24"/>
          <w:szCs w:val="24"/>
        </w:rPr>
        <w:t>年1</w:t>
      </w:r>
      <w:r>
        <w:rPr>
          <w:rFonts w:ascii="仿宋_GB2312" w:eastAsia="仿宋_GB2312"/>
          <w:b/>
          <w:sz w:val="24"/>
          <w:szCs w:val="24"/>
        </w:rPr>
        <w:t>0</w:t>
      </w:r>
      <w:r>
        <w:rPr>
          <w:rFonts w:hint="eastAsia" w:ascii="仿宋_GB2312" w:eastAsia="仿宋_GB2312"/>
          <w:b/>
          <w:sz w:val="24"/>
          <w:szCs w:val="24"/>
        </w:rPr>
        <w:t>月）</w:t>
      </w:r>
      <w:bookmarkEnd w:id="294"/>
    </w:p>
    <w:bookmarkEnd w:id="295"/>
    <w:p>
      <w:pPr>
        <w:widowControl/>
        <w:jc w:val="left"/>
        <w:rPr>
          <w:rFonts w:ascii="仿宋_GB2312" w:eastAsia="仿宋_GB2312"/>
          <w:b/>
          <w:sz w:val="24"/>
          <w:szCs w:val="24"/>
        </w:rPr>
      </w:pPr>
    </w:p>
    <w:bookmarkEnd w:id="277"/>
    <w:p>
      <w:pPr>
        <w:pStyle w:val="2"/>
        <w:spacing w:before="0" w:after="0" w:line="360" w:lineRule="auto"/>
        <w:ind w:firstLine="643" w:firstLineChars="200"/>
        <w:rPr>
          <w:rFonts w:ascii="黑体" w:hAnsi="黑体" w:eastAsia="黑体"/>
          <w:sz w:val="32"/>
          <w:szCs w:val="32"/>
        </w:rPr>
      </w:pPr>
      <w:bookmarkStart w:id="297" w:name="_Toc500492327"/>
      <w:bookmarkStart w:id="298" w:name="_Toc124087909"/>
      <w:bookmarkStart w:id="299" w:name="_Toc532826583"/>
      <w:bookmarkStart w:id="300" w:name="_Toc533519424"/>
      <w:r>
        <w:rPr>
          <w:rFonts w:hint="eastAsia" w:ascii="黑体" w:hAnsi="黑体" w:eastAsia="黑体"/>
          <w:sz w:val="32"/>
          <w:szCs w:val="32"/>
        </w:rPr>
        <w:t>5.面临挑战</w:t>
      </w:r>
      <w:bookmarkEnd w:id="297"/>
      <w:bookmarkEnd w:id="298"/>
      <w:bookmarkEnd w:id="299"/>
      <w:bookmarkEnd w:id="300"/>
    </w:p>
    <w:p>
      <w:pPr>
        <w:pStyle w:val="3"/>
        <w:spacing w:before="0" w:after="0" w:line="360" w:lineRule="auto"/>
        <w:ind w:firstLine="562" w:firstLineChars="200"/>
        <w:rPr>
          <w:rFonts w:ascii="仿宋_GB2312" w:eastAsia="仿宋_GB2312" w:hAnsiTheme="minorEastAsia"/>
          <w:sz w:val="28"/>
          <w:szCs w:val="28"/>
        </w:rPr>
      </w:pPr>
      <w:bookmarkStart w:id="301" w:name="_Toc500492328"/>
      <w:bookmarkStart w:id="302" w:name="_Toc124087910"/>
      <w:bookmarkStart w:id="303" w:name="_Toc532826584"/>
      <w:bookmarkStart w:id="304" w:name="_Toc533519425"/>
      <w:r>
        <w:rPr>
          <w:rFonts w:hint="eastAsia" w:ascii="仿宋_GB2312" w:eastAsia="仿宋_GB2312" w:hAnsiTheme="minorEastAsia"/>
          <w:sz w:val="28"/>
          <w:szCs w:val="28"/>
        </w:rPr>
        <w:t>5</w:t>
      </w:r>
      <w:r>
        <w:rPr>
          <w:rFonts w:ascii="仿宋_GB2312" w:eastAsia="仿宋_GB2312" w:hAnsiTheme="minorEastAsia"/>
          <w:sz w:val="28"/>
          <w:szCs w:val="28"/>
        </w:rPr>
        <w:t xml:space="preserve">.1 </w:t>
      </w:r>
      <w:r>
        <w:rPr>
          <w:rFonts w:hint="eastAsia" w:ascii="仿宋_GB2312" w:eastAsia="仿宋_GB2312" w:hAnsiTheme="minorEastAsia"/>
          <w:sz w:val="28"/>
          <w:szCs w:val="28"/>
        </w:rPr>
        <w:t>主要问题</w:t>
      </w:r>
      <w:bookmarkEnd w:id="301"/>
      <w:bookmarkEnd w:id="302"/>
      <w:bookmarkEnd w:id="303"/>
      <w:bookmarkEnd w:id="304"/>
    </w:p>
    <w:p>
      <w:pPr>
        <w:tabs>
          <w:tab w:val="left" w:pos="7560"/>
        </w:tabs>
        <w:adjustRightInd w:val="0"/>
        <w:snapToGrid w:val="0"/>
        <w:spacing w:line="360" w:lineRule="auto"/>
        <w:ind w:firstLine="562" w:firstLineChars="200"/>
        <w:rPr>
          <w:rFonts w:ascii="仿宋_GB2312" w:eastAsia="仿宋_GB2312" w:hAnsiTheme="minorEastAsia"/>
          <w:b/>
          <w:sz w:val="28"/>
          <w:szCs w:val="28"/>
        </w:rPr>
      </w:pPr>
      <w:bookmarkStart w:id="305" w:name="_Toc500492329"/>
      <w:r>
        <w:rPr>
          <w:rFonts w:hint="eastAsia" w:ascii="仿宋_GB2312" w:eastAsia="仿宋_GB2312" w:hAnsiTheme="minorEastAsia"/>
          <w:b/>
          <w:sz w:val="28"/>
          <w:szCs w:val="28"/>
        </w:rPr>
        <w:t>（1）社会服务能力需要持续强化</w:t>
      </w:r>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根据“十四五”我国高职教育高质量发展目标要求，该校的社会服务能力包括技术开发能力和社会培训水平需要不断强化，持续提升。</w:t>
      </w:r>
    </w:p>
    <w:p>
      <w:pPr>
        <w:tabs>
          <w:tab w:val="left" w:pos="7560"/>
        </w:tabs>
        <w:adjustRightInd w:val="0"/>
        <w:snapToGrid w:val="0"/>
        <w:spacing w:line="360" w:lineRule="auto"/>
        <w:ind w:firstLine="562" w:firstLineChars="200"/>
        <w:rPr>
          <w:rFonts w:ascii="仿宋_GB2312" w:eastAsia="仿宋_GB2312" w:hAnsiTheme="minorEastAsia"/>
          <w:sz w:val="28"/>
          <w:szCs w:val="28"/>
        </w:rPr>
      </w:pPr>
      <w:r>
        <w:rPr>
          <w:rFonts w:hint="eastAsia" w:ascii="仿宋_GB2312" w:eastAsia="仿宋_GB2312" w:hAnsiTheme="minorEastAsia"/>
          <w:b/>
          <w:sz w:val="28"/>
          <w:szCs w:val="28"/>
        </w:rPr>
        <w:t>（2）专业内涵建设需要不断提升</w:t>
      </w:r>
      <w:r>
        <w:rPr>
          <w:rFonts w:hint="eastAsia" w:ascii="仿宋_GB2312" w:eastAsia="仿宋_GB2312" w:hAnsiTheme="minorEastAsia"/>
          <w:sz w:val="28"/>
          <w:szCs w:val="28"/>
        </w:rPr>
        <w:t xml:space="preserve">  </w:t>
      </w:r>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新专业建设</w:t>
      </w:r>
      <w:r>
        <w:rPr>
          <w:rFonts w:ascii="仿宋" w:hAnsi="仿宋" w:eastAsia="仿宋"/>
          <w:sz w:val="28"/>
          <w:szCs w:val="28"/>
        </w:rPr>
        <w:t>理念和模式需要继续创新，课程</w:t>
      </w:r>
      <w:r>
        <w:rPr>
          <w:rFonts w:hint="eastAsia" w:ascii="仿宋" w:hAnsi="仿宋" w:eastAsia="仿宋"/>
          <w:sz w:val="28"/>
          <w:szCs w:val="28"/>
        </w:rPr>
        <w:t>及</w:t>
      </w:r>
      <w:r>
        <w:rPr>
          <w:rFonts w:ascii="仿宋" w:hAnsi="仿宋" w:eastAsia="仿宋"/>
          <w:sz w:val="28"/>
          <w:szCs w:val="28"/>
        </w:rPr>
        <w:t>课程结构调整需要进一步加强</w:t>
      </w:r>
      <w:r>
        <w:rPr>
          <w:rFonts w:hint="eastAsia" w:ascii="仿宋" w:hAnsi="仿宋" w:eastAsia="仿宋"/>
          <w:sz w:val="28"/>
          <w:szCs w:val="28"/>
        </w:rPr>
        <w:t>，</w:t>
      </w:r>
      <w:r>
        <w:rPr>
          <w:rFonts w:ascii="仿宋" w:hAnsi="仿宋" w:eastAsia="仿宋"/>
          <w:sz w:val="28"/>
          <w:szCs w:val="28"/>
        </w:rPr>
        <w:t>专业满足市场需要</w:t>
      </w:r>
      <w:r>
        <w:rPr>
          <w:rFonts w:hint="eastAsia" w:ascii="仿宋" w:hAnsi="仿宋" w:eastAsia="仿宋"/>
          <w:sz w:val="28"/>
          <w:szCs w:val="28"/>
        </w:rPr>
        <w:t>，</w:t>
      </w:r>
      <w:r>
        <w:rPr>
          <w:rFonts w:ascii="仿宋" w:hAnsi="仿宋" w:eastAsia="仿宋"/>
          <w:sz w:val="28"/>
          <w:szCs w:val="28"/>
        </w:rPr>
        <w:t>课程服务岗位能力</w:t>
      </w:r>
      <w:r>
        <w:rPr>
          <w:rFonts w:hint="eastAsia" w:ascii="仿宋" w:hAnsi="仿宋" w:eastAsia="仿宋"/>
          <w:sz w:val="28"/>
          <w:szCs w:val="28"/>
        </w:rPr>
        <w:t>。深度</w:t>
      </w:r>
      <w:r>
        <w:rPr>
          <w:rFonts w:ascii="仿宋" w:hAnsi="仿宋" w:eastAsia="仿宋"/>
          <w:sz w:val="28"/>
          <w:szCs w:val="28"/>
        </w:rPr>
        <w:t>推进产教融合</w:t>
      </w:r>
      <w:r>
        <w:rPr>
          <w:rFonts w:hint="eastAsia" w:ascii="仿宋" w:hAnsi="仿宋" w:eastAsia="仿宋"/>
          <w:sz w:val="28"/>
          <w:szCs w:val="28"/>
        </w:rPr>
        <w:t>、</w:t>
      </w:r>
      <w:r>
        <w:rPr>
          <w:rFonts w:ascii="仿宋" w:hAnsi="仿宋" w:eastAsia="仿宋"/>
          <w:sz w:val="28"/>
          <w:szCs w:val="28"/>
        </w:rPr>
        <w:t>校企合作</w:t>
      </w:r>
      <w:r>
        <w:rPr>
          <w:rFonts w:hint="eastAsia" w:ascii="仿宋" w:hAnsi="仿宋" w:eastAsia="仿宋"/>
          <w:sz w:val="28"/>
          <w:szCs w:val="28"/>
        </w:rPr>
        <w:t>，</w:t>
      </w:r>
      <w:r>
        <w:rPr>
          <w:rFonts w:ascii="仿宋" w:hAnsi="仿宋" w:eastAsia="仿宋"/>
          <w:sz w:val="28"/>
          <w:szCs w:val="28"/>
        </w:rPr>
        <w:t>强化青年教师实践能力</w:t>
      </w:r>
      <w:r>
        <w:rPr>
          <w:rFonts w:hint="eastAsia" w:ascii="仿宋" w:hAnsi="仿宋" w:eastAsia="仿宋"/>
          <w:sz w:val="28"/>
          <w:szCs w:val="28"/>
        </w:rPr>
        <w:t>，</w:t>
      </w:r>
      <w:r>
        <w:rPr>
          <w:rFonts w:ascii="仿宋" w:hAnsi="仿宋" w:eastAsia="仿宋"/>
          <w:sz w:val="28"/>
          <w:szCs w:val="28"/>
        </w:rPr>
        <w:t>做好企业兼职教师队伍建设</w:t>
      </w:r>
      <w:r>
        <w:rPr>
          <w:rFonts w:hint="eastAsia" w:ascii="仿宋" w:hAnsi="仿宋" w:eastAsia="仿宋"/>
          <w:sz w:val="28"/>
          <w:szCs w:val="28"/>
        </w:rPr>
        <w:t>。</w:t>
      </w:r>
    </w:p>
    <w:p>
      <w:pPr>
        <w:tabs>
          <w:tab w:val="left" w:pos="7560"/>
        </w:tabs>
        <w:adjustRightInd w:val="0"/>
        <w:snapToGrid w:val="0"/>
        <w:spacing w:line="360" w:lineRule="auto"/>
        <w:ind w:firstLine="562" w:firstLineChars="200"/>
        <w:rPr>
          <w:rFonts w:ascii="仿宋_GB2312" w:eastAsia="仿宋_GB2312" w:hAnsiTheme="minorEastAsia"/>
          <w:b/>
          <w:sz w:val="28"/>
          <w:szCs w:val="28"/>
        </w:rPr>
      </w:pPr>
      <w:r>
        <w:rPr>
          <w:rFonts w:hint="eastAsia" w:ascii="仿宋_GB2312" w:eastAsia="仿宋_GB2312" w:hAnsiTheme="minorEastAsia"/>
          <w:b/>
          <w:sz w:val="28"/>
          <w:szCs w:val="28"/>
        </w:rPr>
        <w:t>（3）学生培养质量仍有待</w:t>
      </w:r>
      <w:r>
        <w:rPr>
          <w:rFonts w:ascii="仿宋_GB2312" w:eastAsia="仿宋_GB2312" w:hAnsiTheme="minorEastAsia"/>
          <w:b/>
          <w:sz w:val="28"/>
          <w:szCs w:val="28"/>
        </w:rPr>
        <w:t>提高</w:t>
      </w:r>
    </w:p>
    <w:p>
      <w:pPr>
        <w:adjustRightInd w:val="0"/>
        <w:snapToGrid w:val="0"/>
        <w:spacing w:line="360" w:lineRule="auto"/>
        <w:ind w:firstLine="560" w:firstLineChars="200"/>
        <w:rPr>
          <w:rFonts w:ascii="仿宋" w:hAnsi="仿宋" w:eastAsia="仿宋"/>
          <w:sz w:val="28"/>
          <w:szCs w:val="28"/>
        </w:rPr>
      </w:pPr>
      <w:bookmarkStart w:id="306" w:name="_Toc532826585"/>
      <w:r>
        <w:rPr>
          <w:rFonts w:hint="eastAsia" w:ascii="仿宋" w:hAnsi="仿宋" w:eastAsia="仿宋"/>
          <w:sz w:val="28"/>
          <w:szCs w:val="28"/>
        </w:rPr>
        <w:t>学生培养质量应该体现在适应当地经济发展、产业转型和学生技能及</w:t>
      </w:r>
      <w:r>
        <w:rPr>
          <w:rFonts w:ascii="仿宋" w:hAnsi="仿宋" w:eastAsia="仿宋"/>
          <w:sz w:val="28"/>
          <w:szCs w:val="28"/>
        </w:rPr>
        <w:t>德智体</w:t>
      </w:r>
      <w:r>
        <w:rPr>
          <w:rFonts w:hint="eastAsia" w:ascii="仿宋" w:hAnsi="仿宋" w:eastAsia="仿宋"/>
          <w:sz w:val="28"/>
          <w:szCs w:val="28"/>
        </w:rPr>
        <w:t>美</w:t>
      </w:r>
      <w:r>
        <w:rPr>
          <w:rFonts w:ascii="仿宋" w:hAnsi="仿宋" w:eastAsia="仿宋"/>
          <w:sz w:val="28"/>
          <w:szCs w:val="28"/>
        </w:rPr>
        <w:t>劳等各个方面，</w:t>
      </w:r>
      <w:r>
        <w:rPr>
          <w:rFonts w:hint="eastAsia" w:ascii="仿宋" w:hAnsi="仿宋" w:eastAsia="仿宋"/>
          <w:sz w:val="28"/>
          <w:szCs w:val="28"/>
        </w:rPr>
        <w:t>学校虽与多方合作，已取得明显成效，但在职业技能的深度等</w:t>
      </w:r>
      <w:r>
        <w:rPr>
          <w:rFonts w:ascii="仿宋" w:hAnsi="仿宋" w:eastAsia="仿宋"/>
          <w:sz w:val="28"/>
          <w:szCs w:val="28"/>
        </w:rPr>
        <w:t>方面，</w:t>
      </w:r>
      <w:r>
        <w:rPr>
          <w:rFonts w:hint="eastAsia" w:ascii="仿宋" w:hAnsi="仿宋" w:eastAsia="仿宋"/>
          <w:sz w:val="28"/>
          <w:szCs w:val="28"/>
        </w:rPr>
        <w:t>还存在</w:t>
      </w:r>
      <w:r>
        <w:rPr>
          <w:rFonts w:ascii="仿宋" w:hAnsi="仿宋" w:eastAsia="仿宋"/>
          <w:sz w:val="28"/>
          <w:szCs w:val="28"/>
        </w:rPr>
        <w:t>不足</w:t>
      </w:r>
      <w:r>
        <w:rPr>
          <w:rFonts w:hint="eastAsia" w:ascii="仿宋" w:hAnsi="仿宋" w:eastAsia="仿宋"/>
          <w:sz w:val="28"/>
          <w:szCs w:val="28"/>
        </w:rPr>
        <w:t>，仍</w:t>
      </w:r>
      <w:r>
        <w:rPr>
          <w:rFonts w:ascii="仿宋" w:hAnsi="仿宋" w:eastAsia="仿宋"/>
          <w:sz w:val="28"/>
          <w:szCs w:val="28"/>
        </w:rPr>
        <w:t>有待提高</w:t>
      </w:r>
      <w:r>
        <w:rPr>
          <w:rFonts w:hint="eastAsia" w:ascii="仿宋" w:hAnsi="仿宋" w:eastAsia="仿宋"/>
          <w:sz w:val="28"/>
          <w:szCs w:val="28"/>
        </w:rPr>
        <w:t>。</w:t>
      </w:r>
      <w:bookmarkEnd w:id="306"/>
    </w:p>
    <w:p>
      <w:pPr>
        <w:pStyle w:val="3"/>
        <w:spacing w:before="0" w:after="0" w:line="360" w:lineRule="auto"/>
        <w:ind w:firstLine="562" w:firstLineChars="200"/>
        <w:rPr>
          <w:rFonts w:ascii="仿宋_GB2312" w:eastAsia="仿宋_GB2312" w:hAnsiTheme="minorEastAsia"/>
          <w:sz w:val="28"/>
          <w:szCs w:val="28"/>
        </w:rPr>
      </w:pPr>
      <w:bookmarkStart w:id="307" w:name="_Toc532826586"/>
      <w:bookmarkStart w:id="308" w:name="_Toc124087911"/>
      <w:bookmarkStart w:id="309" w:name="_Toc533519426"/>
      <w:r>
        <w:rPr>
          <w:rFonts w:hint="eastAsia" w:ascii="仿宋_GB2312" w:eastAsia="仿宋_GB2312" w:hAnsiTheme="minorEastAsia"/>
          <w:sz w:val="28"/>
          <w:szCs w:val="28"/>
        </w:rPr>
        <w:t>5</w:t>
      </w:r>
      <w:r>
        <w:rPr>
          <w:rFonts w:ascii="仿宋_GB2312" w:eastAsia="仿宋_GB2312" w:hAnsiTheme="minorEastAsia"/>
          <w:sz w:val="28"/>
          <w:szCs w:val="28"/>
        </w:rPr>
        <w:t>.2 主要</w:t>
      </w:r>
      <w:r>
        <w:rPr>
          <w:rFonts w:hint="eastAsia" w:ascii="仿宋_GB2312" w:eastAsia="仿宋_GB2312" w:hAnsiTheme="minorEastAsia"/>
          <w:sz w:val="28"/>
          <w:szCs w:val="28"/>
        </w:rPr>
        <w:t>对策</w:t>
      </w:r>
      <w:bookmarkEnd w:id="305"/>
      <w:bookmarkEnd w:id="307"/>
      <w:bookmarkEnd w:id="308"/>
      <w:bookmarkEnd w:id="309"/>
    </w:p>
    <w:p>
      <w:pPr>
        <w:tabs>
          <w:tab w:val="left" w:pos="7560"/>
        </w:tabs>
        <w:adjustRightInd w:val="0"/>
        <w:snapToGrid w:val="0"/>
        <w:spacing w:line="360" w:lineRule="auto"/>
        <w:ind w:firstLine="562" w:firstLineChars="200"/>
        <w:rPr>
          <w:rFonts w:ascii="仿宋_GB2312" w:eastAsia="仿宋_GB2312" w:hAnsiTheme="minorEastAsia"/>
          <w:b/>
          <w:sz w:val="28"/>
          <w:szCs w:val="28"/>
        </w:rPr>
      </w:pPr>
      <w:r>
        <w:rPr>
          <w:rFonts w:hint="eastAsia" w:ascii="仿宋_GB2312" w:eastAsia="仿宋_GB2312" w:hAnsiTheme="minorEastAsia"/>
          <w:b/>
          <w:sz w:val="28"/>
          <w:szCs w:val="28"/>
        </w:rPr>
        <w:t>（1）坚持问题导向，解决核心问题</w:t>
      </w:r>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在深入调研分析基础上，坚持诊断改进，解决好人才培养、技术开发、校企共进和特色凸显等核心问题，特别要不断挖潜，用好专业建设及学校发展的存量资源。</w:t>
      </w:r>
    </w:p>
    <w:p>
      <w:pPr>
        <w:tabs>
          <w:tab w:val="left" w:pos="7560"/>
        </w:tabs>
        <w:adjustRightInd w:val="0"/>
        <w:snapToGrid w:val="0"/>
        <w:spacing w:line="360" w:lineRule="auto"/>
        <w:ind w:firstLine="562" w:firstLineChars="200"/>
        <w:rPr>
          <w:rFonts w:ascii="仿宋_GB2312" w:eastAsia="仿宋_GB2312" w:hAnsiTheme="minorEastAsia"/>
          <w:sz w:val="28"/>
          <w:szCs w:val="28"/>
        </w:rPr>
      </w:pPr>
      <w:r>
        <w:rPr>
          <w:rFonts w:hint="eastAsia" w:ascii="仿宋_GB2312" w:eastAsia="仿宋_GB2312" w:hAnsiTheme="minorEastAsia"/>
          <w:b/>
          <w:sz w:val="28"/>
          <w:szCs w:val="28"/>
        </w:rPr>
        <w:t>（2）重视补缺强优，夯实关键要素</w:t>
      </w:r>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师资建设是组织建设中的核心和重点，也</w:t>
      </w:r>
      <w:r>
        <w:rPr>
          <w:rFonts w:ascii="仿宋" w:hAnsi="仿宋" w:eastAsia="仿宋"/>
          <w:sz w:val="28"/>
          <w:szCs w:val="28"/>
        </w:rPr>
        <w:t>是提高人才培养质量的关键。</w:t>
      </w:r>
      <w:r>
        <w:rPr>
          <w:rFonts w:hint="eastAsia" w:ascii="仿宋" w:hAnsi="仿宋" w:eastAsia="仿宋"/>
          <w:sz w:val="28"/>
          <w:szCs w:val="28"/>
        </w:rPr>
        <w:t>学院将加大</w:t>
      </w:r>
      <w:r>
        <w:rPr>
          <w:rFonts w:ascii="仿宋" w:hAnsi="仿宋" w:eastAsia="仿宋"/>
          <w:sz w:val="28"/>
          <w:szCs w:val="28"/>
        </w:rPr>
        <w:t>“</w:t>
      </w:r>
      <w:r>
        <w:rPr>
          <w:rFonts w:hint="eastAsia" w:ascii="仿宋" w:hAnsi="仿宋" w:eastAsia="仿宋"/>
          <w:sz w:val="28"/>
          <w:szCs w:val="28"/>
        </w:rPr>
        <w:t>外</w:t>
      </w:r>
      <w:r>
        <w:rPr>
          <w:rFonts w:ascii="仿宋" w:hAnsi="仿宋" w:eastAsia="仿宋"/>
          <w:sz w:val="28"/>
          <w:szCs w:val="28"/>
        </w:rPr>
        <w:t>引内培”，加快专业带头人和骨干教师</w:t>
      </w:r>
      <w:r>
        <w:rPr>
          <w:rFonts w:hint="eastAsia" w:ascii="仿宋" w:hAnsi="仿宋" w:eastAsia="仿宋"/>
          <w:sz w:val="28"/>
          <w:szCs w:val="28"/>
        </w:rPr>
        <w:t>的</w:t>
      </w:r>
      <w:r>
        <w:rPr>
          <w:rFonts w:ascii="仿宋" w:hAnsi="仿宋" w:eastAsia="仿宋"/>
          <w:sz w:val="28"/>
          <w:szCs w:val="28"/>
        </w:rPr>
        <w:t>培养</w:t>
      </w:r>
      <w:r>
        <w:rPr>
          <w:rFonts w:hint="eastAsia" w:ascii="仿宋" w:hAnsi="仿宋" w:eastAsia="仿宋"/>
          <w:sz w:val="28"/>
          <w:szCs w:val="28"/>
        </w:rPr>
        <w:t>。用好特聘教授队伍，发挥他们的能力、经验与影响，提升各专业</w:t>
      </w:r>
      <w:r>
        <w:rPr>
          <w:rFonts w:ascii="仿宋" w:hAnsi="仿宋" w:eastAsia="仿宋"/>
          <w:sz w:val="28"/>
          <w:szCs w:val="28"/>
        </w:rPr>
        <w:t>教学团队的整体水平</w:t>
      </w:r>
      <w:r>
        <w:rPr>
          <w:rFonts w:hint="eastAsia" w:ascii="仿宋" w:hAnsi="仿宋" w:eastAsia="仿宋"/>
          <w:sz w:val="28"/>
          <w:szCs w:val="28"/>
        </w:rPr>
        <w:t>，提高</w:t>
      </w:r>
      <w:r>
        <w:rPr>
          <w:rFonts w:ascii="仿宋" w:hAnsi="仿宋" w:eastAsia="仿宋"/>
          <w:sz w:val="28"/>
          <w:szCs w:val="28"/>
        </w:rPr>
        <w:t>教师的</w:t>
      </w:r>
      <w:r>
        <w:rPr>
          <w:rFonts w:hint="eastAsia" w:ascii="仿宋" w:hAnsi="仿宋" w:eastAsia="仿宋"/>
          <w:sz w:val="28"/>
          <w:szCs w:val="28"/>
        </w:rPr>
        <w:t>教学</w:t>
      </w:r>
      <w:r>
        <w:rPr>
          <w:rFonts w:ascii="仿宋" w:hAnsi="仿宋" w:eastAsia="仿宋"/>
          <w:sz w:val="28"/>
          <w:szCs w:val="28"/>
        </w:rPr>
        <w:t>、科研和社会服务能力</w:t>
      </w:r>
      <w:r>
        <w:rPr>
          <w:rFonts w:hint="eastAsia" w:ascii="仿宋" w:hAnsi="仿宋" w:eastAsia="仿宋"/>
          <w:sz w:val="28"/>
          <w:szCs w:val="28"/>
        </w:rPr>
        <w:t>。</w:t>
      </w:r>
    </w:p>
    <w:p>
      <w:pPr>
        <w:tabs>
          <w:tab w:val="left" w:pos="7560"/>
        </w:tabs>
        <w:adjustRightInd w:val="0"/>
        <w:snapToGrid w:val="0"/>
        <w:spacing w:line="360" w:lineRule="auto"/>
        <w:ind w:firstLine="562" w:firstLineChars="200"/>
        <w:rPr>
          <w:rFonts w:ascii="仿宋_GB2312" w:eastAsia="仿宋_GB2312" w:hAnsiTheme="minorEastAsia"/>
          <w:sz w:val="28"/>
          <w:szCs w:val="28"/>
        </w:rPr>
      </w:pPr>
      <w:r>
        <w:rPr>
          <w:rFonts w:hint="eastAsia" w:ascii="仿宋_GB2312" w:eastAsia="仿宋_GB2312" w:hAnsiTheme="minorEastAsia"/>
          <w:b/>
          <w:sz w:val="28"/>
          <w:szCs w:val="28"/>
        </w:rPr>
        <w:t>（3）坚持</w:t>
      </w:r>
      <w:r>
        <w:rPr>
          <w:rFonts w:ascii="仿宋_GB2312" w:eastAsia="仿宋_GB2312" w:hAnsiTheme="minorEastAsia"/>
          <w:b/>
          <w:sz w:val="28"/>
          <w:szCs w:val="28"/>
        </w:rPr>
        <w:t>以生</w:t>
      </w:r>
      <w:r>
        <w:rPr>
          <w:rFonts w:hint="eastAsia" w:ascii="仿宋_GB2312" w:eastAsia="仿宋_GB2312" w:hAnsiTheme="minorEastAsia"/>
          <w:b/>
          <w:sz w:val="28"/>
          <w:szCs w:val="28"/>
        </w:rPr>
        <w:t>为</w:t>
      </w:r>
      <w:r>
        <w:rPr>
          <w:rFonts w:ascii="仿宋_GB2312" w:eastAsia="仿宋_GB2312" w:hAnsiTheme="minorEastAsia"/>
          <w:b/>
          <w:sz w:val="28"/>
          <w:szCs w:val="28"/>
        </w:rPr>
        <w:t>本，</w:t>
      </w:r>
      <w:r>
        <w:rPr>
          <w:rFonts w:hint="eastAsia" w:ascii="仿宋_GB2312" w:eastAsia="仿宋_GB2312" w:hAnsiTheme="minorEastAsia"/>
          <w:b/>
          <w:sz w:val="28"/>
          <w:szCs w:val="28"/>
        </w:rPr>
        <w:t>突破培养瓶颈</w:t>
      </w:r>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“学分制”改革的</w:t>
      </w:r>
      <w:r>
        <w:rPr>
          <w:rFonts w:ascii="仿宋" w:hAnsi="仿宋" w:eastAsia="仿宋"/>
          <w:sz w:val="28"/>
          <w:szCs w:val="28"/>
        </w:rPr>
        <w:t>核心是以学生为本</w:t>
      </w:r>
      <w:r>
        <w:rPr>
          <w:rFonts w:hint="eastAsia" w:ascii="仿宋" w:hAnsi="仿宋" w:eastAsia="仿宋"/>
          <w:sz w:val="28"/>
          <w:szCs w:val="28"/>
        </w:rPr>
        <w:t>，满足</w:t>
      </w:r>
      <w:r>
        <w:rPr>
          <w:rFonts w:ascii="仿宋" w:hAnsi="仿宋" w:eastAsia="仿宋"/>
          <w:sz w:val="28"/>
          <w:szCs w:val="28"/>
        </w:rPr>
        <w:t>学生自主学习</w:t>
      </w:r>
      <w:r>
        <w:rPr>
          <w:rFonts w:hint="eastAsia" w:ascii="仿宋" w:hAnsi="仿宋" w:eastAsia="仿宋"/>
          <w:sz w:val="28"/>
          <w:szCs w:val="28"/>
        </w:rPr>
        <w:t>和</w:t>
      </w:r>
      <w:r>
        <w:rPr>
          <w:rFonts w:ascii="仿宋" w:hAnsi="仿宋" w:eastAsia="仿宋"/>
          <w:sz w:val="28"/>
          <w:szCs w:val="28"/>
        </w:rPr>
        <w:t>需要。</w:t>
      </w:r>
      <w:r>
        <w:rPr>
          <w:rFonts w:hint="eastAsia" w:ascii="仿宋" w:hAnsi="仿宋" w:eastAsia="仿宋"/>
          <w:sz w:val="28"/>
          <w:szCs w:val="28"/>
        </w:rPr>
        <w:t>该校已启动全面实现学分制培养，将在探索中稳步推进</w:t>
      </w:r>
      <w:r>
        <w:rPr>
          <w:rFonts w:ascii="仿宋" w:hAnsi="仿宋" w:eastAsia="仿宋"/>
          <w:sz w:val="28"/>
          <w:szCs w:val="28"/>
        </w:rPr>
        <w:t>，培育自主学习文化</w:t>
      </w:r>
      <w:r>
        <w:rPr>
          <w:rFonts w:hint="eastAsia" w:ascii="仿宋" w:hAnsi="仿宋" w:eastAsia="仿宋"/>
          <w:sz w:val="28"/>
          <w:szCs w:val="28"/>
        </w:rPr>
        <w:t>，建立主动学习习惯。鼓励并激发各二级院系结合其专业特点，针对不同生源和学生兴趣特长，积极探索设立个性化的人才培养方案，</w:t>
      </w:r>
      <w:r>
        <w:rPr>
          <w:rFonts w:ascii="仿宋" w:hAnsi="仿宋" w:eastAsia="仿宋"/>
          <w:sz w:val="28"/>
          <w:szCs w:val="28"/>
        </w:rPr>
        <w:t>深化校企合作</w:t>
      </w:r>
      <w:r>
        <w:rPr>
          <w:rFonts w:hint="eastAsia" w:ascii="仿宋" w:hAnsi="仿宋" w:eastAsia="仿宋"/>
          <w:sz w:val="28"/>
          <w:szCs w:val="28"/>
        </w:rPr>
        <w:t>，以信息软件技术等重点专业为依托，以重点实验室和应用课题为纽带，搭建多专业交叉平台，促进多专业联合、跨专业融合，探索专业交叉培养模式，优化课程体系，增加专业选修课数量，创新人才培养模式，促进专业特色培养和学生个性化发展。</w:t>
      </w:r>
    </w:p>
    <w:p>
      <w:pPr>
        <w:tabs>
          <w:tab w:val="left" w:pos="7560"/>
        </w:tabs>
        <w:adjustRightInd w:val="0"/>
        <w:snapToGrid w:val="0"/>
        <w:spacing w:line="360" w:lineRule="auto"/>
        <w:ind w:firstLine="562" w:firstLineChars="200"/>
        <w:rPr>
          <w:rFonts w:ascii="仿宋_GB2312" w:eastAsia="仿宋_GB2312" w:hAnsiTheme="minorEastAsia"/>
          <w:b/>
          <w:sz w:val="28"/>
          <w:szCs w:val="28"/>
        </w:rPr>
      </w:pPr>
      <w:r>
        <w:rPr>
          <w:rFonts w:hint="eastAsia" w:ascii="仿宋_GB2312" w:eastAsia="仿宋_GB2312" w:hAnsiTheme="minorEastAsia"/>
          <w:b/>
          <w:sz w:val="28"/>
          <w:szCs w:val="28"/>
        </w:rPr>
        <w:t>（4）推进专业建设和</w:t>
      </w:r>
      <w:r>
        <w:rPr>
          <w:rFonts w:ascii="仿宋_GB2312" w:eastAsia="仿宋_GB2312" w:hAnsiTheme="minorEastAsia"/>
          <w:b/>
          <w:sz w:val="28"/>
          <w:szCs w:val="28"/>
        </w:rPr>
        <w:t>课程改革，加强内涵建设</w:t>
      </w:r>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 xml:space="preserve">要通过重点专业先行，所有专业并进的“贯标”活动提升该校的专业建设质量，落实教育部的专业教学标准、专业（类）岗位实习标准和专业实训教学条件建设标准。同时鼓励各二级院系结合其专业特点，针对不同生源和学生兴趣特长，积极探索并实现其个性化的人才培养，优化其专业结构和课程体系，创新人才培养模式，促进专业特色培养和学生个性化发展。宏观层面上，根据区域经济服务面向，形成专业发展的特色定位，明晰专业群内的组群逻辑和群外的互补关系，保证对现有专业的优化和新开专业的成效；微观层面，探索并形成该校专业群建设及运行的自评系统，聚焦成效，让专业优化和集聚切实落地；运行角度上，过程管理结合结果评价，持续完善并规范其专业群建设的数据釆集与分析处理，结合行业发展趋势特征和该校现实情况，做到及时发现问题，有效诊改，形成动态化专业调整机制。 </w:t>
      </w:r>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深入研究产业先进元素融入教学内容和课程标准的</w:t>
      </w:r>
      <w:r>
        <w:rPr>
          <w:rFonts w:ascii="仿宋" w:hAnsi="仿宋" w:eastAsia="仿宋"/>
          <w:sz w:val="28"/>
          <w:szCs w:val="28"/>
        </w:rPr>
        <w:t>路径，</w:t>
      </w:r>
      <w:r>
        <w:rPr>
          <w:rFonts w:hint="eastAsia" w:ascii="仿宋" w:hAnsi="仿宋" w:eastAsia="仿宋"/>
          <w:sz w:val="28"/>
          <w:szCs w:val="28"/>
        </w:rPr>
        <w:t>坚持任务驱动、项目导向的课程体系开发思路，不断深化专业建设和课程改革。继续强化职业技能训练，进一步</w:t>
      </w:r>
      <w:r>
        <w:rPr>
          <w:rFonts w:ascii="仿宋" w:hAnsi="仿宋" w:eastAsia="仿宋"/>
          <w:sz w:val="28"/>
          <w:szCs w:val="28"/>
        </w:rPr>
        <w:t>提高学生</w:t>
      </w:r>
      <w:r>
        <w:rPr>
          <w:rFonts w:hint="eastAsia" w:ascii="仿宋" w:hAnsi="仿宋" w:eastAsia="仿宋"/>
          <w:sz w:val="28"/>
          <w:szCs w:val="28"/>
        </w:rPr>
        <w:t>参与</w:t>
      </w:r>
      <w:r>
        <w:rPr>
          <w:rFonts w:ascii="仿宋" w:hAnsi="仿宋" w:eastAsia="仿宋"/>
          <w:sz w:val="28"/>
          <w:szCs w:val="28"/>
        </w:rPr>
        <w:t>职业技能鉴定和参加各类职业技能比赛的</w:t>
      </w:r>
      <w:r>
        <w:rPr>
          <w:rFonts w:hint="eastAsia" w:ascii="仿宋" w:hAnsi="仿宋" w:eastAsia="仿宋"/>
          <w:sz w:val="28"/>
          <w:szCs w:val="28"/>
        </w:rPr>
        <w:t>积极</w:t>
      </w:r>
      <w:r>
        <w:rPr>
          <w:rFonts w:ascii="仿宋" w:hAnsi="仿宋" w:eastAsia="仿宋"/>
          <w:sz w:val="28"/>
          <w:szCs w:val="28"/>
        </w:rPr>
        <w:t>性</w:t>
      </w:r>
      <w:r>
        <w:rPr>
          <w:rFonts w:hint="eastAsia" w:ascii="仿宋" w:hAnsi="仿宋" w:eastAsia="仿宋"/>
          <w:sz w:val="28"/>
          <w:szCs w:val="28"/>
        </w:rPr>
        <w:t>，努力实现专业培养与职业岗位的对接，课程内容与职业标准的对接，教学过程与生产过程的对接，学历证书与职业资格证书的对接，推进人才培养的内涵建设不断深入。</w:t>
      </w:r>
    </w:p>
    <w:p>
      <w:pPr>
        <w:tabs>
          <w:tab w:val="left" w:pos="7560"/>
        </w:tabs>
        <w:adjustRightInd w:val="0"/>
        <w:snapToGrid w:val="0"/>
        <w:spacing w:line="360" w:lineRule="auto"/>
        <w:ind w:firstLine="562" w:firstLineChars="200"/>
        <w:rPr>
          <w:rFonts w:ascii="仿宋_GB2312" w:eastAsia="仿宋_GB2312" w:hAnsiTheme="minorEastAsia"/>
          <w:b/>
          <w:sz w:val="28"/>
          <w:szCs w:val="28"/>
        </w:rPr>
      </w:pPr>
      <w:r>
        <w:rPr>
          <w:rFonts w:hint="eastAsia" w:ascii="仿宋_GB2312" w:eastAsia="仿宋_GB2312" w:hAnsiTheme="minorEastAsia"/>
          <w:b/>
          <w:sz w:val="28"/>
          <w:szCs w:val="28"/>
        </w:rPr>
        <w:t>（5）重视过程管理，持续提升</w:t>
      </w:r>
      <w:r>
        <w:rPr>
          <w:rFonts w:ascii="仿宋_GB2312" w:eastAsia="仿宋_GB2312" w:hAnsiTheme="minorEastAsia"/>
          <w:b/>
          <w:sz w:val="28"/>
          <w:szCs w:val="28"/>
        </w:rPr>
        <w:t>质量</w:t>
      </w:r>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质量产生</w:t>
      </w:r>
      <w:r>
        <w:rPr>
          <w:rFonts w:ascii="仿宋" w:hAnsi="仿宋" w:eastAsia="仿宋"/>
          <w:sz w:val="28"/>
          <w:szCs w:val="28"/>
        </w:rPr>
        <w:t>于</w:t>
      </w:r>
      <w:r>
        <w:rPr>
          <w:rFonts w:hint="eastAsia" w:ascii="仿宋" w:hAnsi="仿宋" w:eastAsia="仿宋"/>
          <w:sz w:val="28"/>
          <w:szCs w:val="28"/>
        </w:rPr>
        <w:t>过程。提高</w:t>
      </w:r>
      <w:r>
        <w:rPr>
          <w:rFonts w:ascii="仿宋" w:hAnsi="仿宋" w:eastAsia="仿宋"/>
          <w:sz w:val="28"/>
          <w:szCs w:val="28"/>
        </w:rPr>
        <w:t>人才培养质量需要工匠精神</w:t>
      </w:r>
      <w:r>
        <w:rPr>
          <w:rFonts w:hint="eastAsia" w:ascii="仿宋" w:hAnsi="仿宋" w:eastAsia="仿宋"/>
          <w:sz w:val="28"/>
          <w:szCs w:val="28"/>
        </w:rPr>
        <w:t>，</w:t>
      </w:r>
      <w:r>
        <w:rPr>
          <w:rFonts w:ascii="仿宋" w:hAnsi="仿宋" w:eastAsia="仿宋"/>
          <w:sz w:val="28"/>
          <w:szCs w:val="28"/>
        </w:rPr>
        <w:t>要</w:t>
      </w:r>
      <w:r>
        <w:rPr>
          <w:rFonts w:hint="eastAsia" w:ascii="仿宋" w:hAnsi="仿宋" w:eastAsia="仿宋"/>
          <w:sz w:val="28"/>
          <w:szCs w:val="28"/>
        </w:rPr>
        <w:t>做</w:t>
      </w:r>
      <w:r>
        <w:rPr>
          <w:rFonts w:ascii="仿宋" w:hAnsi="仿宋" w:eastAsia="仿宋"/>
          <w:sz w:val="28"/>
          <w:szCs w:val="28"/>
        </w:rPr>
        <w:t>好每个</w:t>
      </w:r>
      <w:r>
        <w:rPr>
          <w:rFonts w:hint="eastAsia" w:ascii="仿宋" w:hAnsi="仿宋" w:eastAsia="仿宋"/>
          <w:sz w:val="28"/>
          <w:szCs w:val="28"/>
        </w:rPr>
        <w:t>环节</w:t>
      </w:r>
      <w:r>
        <w:rPr>
          <w:rFonts w:ascii="仿宋" w:hAnsi="仿宋" w:eastAsia="仿宋"/>
          <w:sz w:val="28"/>
          <w:szCs w:val="28"/>
        </w:rPr>
        <w:t>和细节</w:t>
      </w:r>
      <w:r>
        <w:rPr>
          <w:rFonts w:hint="eastAsia" w:ascii="仿宋" w:hAnsi="仿宋" w:eastAsia="仿宋"/>
          <w:sz w:val="28"/>
          <w:szCs w:val="28"/>
        </w:rPr>
        <w:t>，</w:t>
      </w:r>
      <w:r>
        <w:rPr>
          <w:rFonts w:ascii="仿宋" w:hAnsi="仿宋" w:eastAsia="仿宋"/>
          <w:sz w:val="28"/>
          <w:szCs w:val="28"/>
        </w:rPr>
        <w:t>持续推进有效课堂</w:t>
      </w:r>
      <w:r>
        <w:rPr>
          <w:rFonts w:hint="eastAsia" w:ascii="仿宋" w:hAnsi="仿宋" w:eastAsia="仿宋"/>
          <w:sz w:val="28"/>
          <w:szCs w:val="28"/>
        </w:rPr>
        <w:t>。专业理论课要丰富教学内涵，提高课程含金量；专业实践课要走向真实项目，学以致用；网络课程要进行资源的再开发利用，有效发挥其作用。要持续强化“考风考纪”，用良好考风推动“学风教风”建设。要强化课程作业、专题论文或报告、项目方案及作品的训练</w:t>
      </w:r>
      <w:r>
        <w:rPr>
          <w:rFonts w:ascii="仿宋" w:hAnsi="仿宋" w:eastAsia="仿宋"/>
          <w:sz w:val="28"/>
          <w:szCs w:val="28"/>
        </w:rPr>
        <w:t>，</w:t>
      </w:r>
      <w:r>
        <w:rPr>
          <w:rFonts w:hint="eastAsia" w:ascii="仿宋" w:hAnsi="仿宋" w:eastAsia="仿宋"/>
          <w:sz w:val="28"/>
          <w:szCs w:val="28"/>
        </w:rPr>
        <w:t>用高质量的作业训练和适度的作业压力或动力推进学生的自主学习和自觉学习。做到“严起来、难起来、忙起来，把教育质量实实在在提起来。”</w:t>
      </w:r>
    </w:p>
    <w:p>
      <w:pPr>
        <w:adjustRightInd w:val="0"/>
        <w:snapToGrid w:val="0"/>
        <w:spacing w:line="360" w:lineRule="auto"/>
        <w:ind w:firstLine="560" w:firstLineChars="200"/>
        <w:rPr>
          <w:rFonts w:ascii="仿宋" w:hAnsi="仿宋" w:eastAsia="仿宋"/>
          <w:sz w:val="28"/>
          <w:szCs w:val="28"/>
        </w:rPr>
      </w:pPr>
      <w:r>
        <w:rPr>
          <w:rFonts w:hint="eastAsia" w:ascii="仿宋" w:hAnsi="仿宋" w:eastAsia="仿宋"/>
          <w:sz w:val="28"/>
          <w:szCs w:val="28"/>
        </w:rPr>
        <w:t>人</w:t>
      </w:r>
      <w:r>
        <w:rPr>
          <w:rFonts w:ascii="仿宋" w:hAnsi="仿宋" w:eastAsia="仿宋"/>
          <w:sz w:val="28"/>
          <w:szCs w:val="28"/>
        </w:rPr>
        <w:t>才培养质量</w:t>
      </w:r>
      <w:r>
        <w:rPr>
          <w:rFonts w:hint="eastAsia" w:ascii="仿宋" w:hAnsi="仿宋" w:eastAsia="仿宋"/>
          <w:sz w:val="28"/>
          <w:szCs w:val="28"/>
        </w:rPr>
        <w:t>就</w:t>
      </w:r>
      <w:r>
        <w:rPr>
          <w:rFonts w:ascii="仿宋" w:hAnsi="仿宋" w:eastAsia="仿宋"/>
          <w:sz w:val="28"/>
          <w:szCs w:val="28"/>
        </w:rPr>
        <w:t>是学校的核心</w:t>
      </w:r>
      <w:r>
        <w:rPr>
          <w:rFonts w:hint="eastAsia" w:ascii="仿宋" w:hAnsi="仿宋" w:eastAsia="仿宋"/>
          <w:sz w:val="28"/>
          <w:szCs w:val="28"/>
        </w:rPr>
        <w:t>竞争</w:t>
      </w:r>
      <w:r>
        <w:rPr>
          <w:rFonts w:ascii="仿宋" w:hAnsi="仿宋" w:eastAsia="仿宋"/>
          <w:sz w:val="28"/>
          <w:szCs w:val="28"/>
        </w:rPr>
        <w:t>力</w:t>
      </w:r>
      <w:r>
        <w:rPr>
          <w:rFonts w:hint="eastAsia" w:ascii="仿宋" w:hAnsi="仿宋" w:eastAsia="仿宋"/>
          <w:sz w:val="28"/>
          <w:szCs w:val="28"/>
        </w:rPr>
        <w:t>。民办</w:t>
      </w:r>
      <w:r>
        <w:rPr>
          <w:rFonts w:ascii="仿宋" w:hAnsi="仿宋" w:eastAsia="仿宋"/>
          <w:sz w:val="28"/>
          <w:szCs w:val="28"/>
        </w:rPr>
        <w:t>学校</w:t>
      </w:r>
      <w:r>
        <w:rPr>
          <w:rFonts w:hint="eastAsia" w:ascii="仿宋" w:hAnsi="仿宋" w:eastAsia="仿宋"/>
          <w:sz w:val="28"/>
          <w:szCs w:val="28"/>
        </w:rPr>
        <w:t>招生竞争加剧</w:t>
      </w:r>
      <w:r>
        <w:rPr>
          <w:rFonts w:ascii="仿宋" w:hAnsi="仿宋" w:eastAsia="仿宋"/>
          <w:sz w:val="28"/>
          <w:szCs w:val="28"/>
        </w:rPr>
        <w:t>，</w:t>
      </w:r>
      <w:r>
        <w:rPr>
          <w:rFonts w:hint="eastAsia" w:ascii="仿宋" w:hAnsi="仿宋" w:eastAsia="仿宋"/>
          <w:sz w:val="28"/>
          <w:szCs w:val="28"/>
        </w:rPr>
        <w:t>该校</w:t>
      </w:r>
      <w:r>
        <w:rPr>
          <w:rFonts w:ascii="仿宋" w:hAnsi="仿宋" w:eastAsia="仿宋"/>
          <w:sz w:val="28"/>
          <w:szCs w:val="28"/>
        </w:rPr>
        <w:t>对提升学校核心竞争力有着必胜信心</w:t>
      </w:r>
      <w:r>
        <w:rPr>
          <w:rFonts w:hint="eastAsia" w:ascii="仿宋" w:hAnsi="仿宋" w:eastAsia="仿宋"/>
          <w:sz w:val="28"/>
          <w:szCs w:val="28"/>
        </w:rPr>
        <w:t>。以实现高职教育的高质量和特色化发展为目标，</w:t>
      </w:r>
      <w:r>
        <w:rPr>
          <w:rFonts w:ascii="仿宋" w:hAnsi="仿宋" w:eastAsia="仿宋"/>
          <w:sz w:val="28"/>
          <w:szCs w:val="28"/>
        </w:rPr>
        <w:t>在</w:t>
      </w:r>
      <w:r>
        <w:rPr>
          <w:rFonts w:hint="eastAsia" w:ascii="仿宋" w:hAnsi="仿宋" w:eastAsia="仿宋"/>
          <w:sz w:val="28"/>
          <w:szCs w:val="28"/>
        </w:rPr>
        <w:t>理事</w:t>
      </w:r>
      <w:r>
        <w:rPr>
          <w:rFonts w:ascii="仿宋" w:hAnsi="仿宋" w:eastAsia="仿宋"/>
          <w:sz w:val="28"/>
          <w:szCs w:val="28"/>
        </w:rPr>
        <w:t>会</w:t>
      </w:r>
      <w:r>
        <w:rPr>
          <w:rFonts w:hint="eastAsia" w:ascii="仿宋" w:hAnsi="仿宋" w:eastAsia="仿宋"/>
          <w:sz w:val="28"/>
          <w:szCs w:val="28"/>
        </w:rPr>
        <w:t>和上级</w:t>
      </w:r>
      <w:r>
        <w:rPr>
          <w:rFonts w:ascii="仿宋" w:hAnsi="仿宋" w:eastAsia="仿宋"/>
          <w:sz w:val="28"/>
          <w:szCs w:val="28"/>
        </w:rPr>
        <w:t>教育主管部门的领导下，</w:t>
      </w:r>
      <w:r>
        <w:rPr>
          <w:rFonts w:hint="eastAsia" w:ascii="仿宋" w:hAnsi="仿宋" w:eastAsia="仿宋"/>
          <w:sz w:val="28"/>
          <w:szCs w:val="28"/>
        </w:rPr>
        <w:t>学校</w:t>
      </w:r>
      <w:r>
        <w:rPr>
          <w:rFonts w:ascii="仿宋" w:hAnsi="仿宋" w:eastAsia="仿宋"/>
          <w:sz w:val="28"/>
          <w:szCs w:val="28"/>
        </w:rPr>
        <w:t>党委和校长领导</w:t>
      </w:r>
      <w:r>
        <w:rPr>
          <w:rFonts w:hint="eastAsia" w:ascii="仿宋" w:hAnsi="仿宋" w:eastAsia="仿宋"/>
          <w:sz w:val="28"/>
          <w:szCs w:val="28"/>
        </w:rPr>
        <w:t>的优秀团队</w:t>
      </w:r>
      <w:r>
        <w:rPr>
          <w:rFonts w:ascii="仿宋" w:hAnsi="仿宋" w:eastAsia="仿宋"/>
          <w:sz w:val="28"/>
          <w:szCs w:val="28"/>
        </w:rPr>
        <w:t>带领下，</w:t>
      </w:r>
      <w:r>
        <w:rPr>
          <w:rFonts w:hint="eastAsia" w:ascii="仿宋" w:hAnsi="仿宋" w:eastAsia="仿宋"/>
          <w:sz w:val="28"/>
          <w:szCs w:val="28"/>
        </w:rPr>
        <w:t>坚持依法治校，专家治学和民主决策的办学及育人准则，</w:t>
      </w:r>
      <w:r>
        <w:rPr>
          <w:rFonts w:ascii="仿宋" w:hAnsi="仿宋" w:eastAsia="仿宋"/>
          <w:sz w:val="28"/>
          <w:szCs w:val="28"/>
        </w:rPr>
        <w:t>通过全体高博人的</w:t>
      </w:r>
      <w:r>
        <w:rPr>
          <w:rFonts w:hint="eastAsia" w:ascii="仿宋" w:hAnsi="仿宋" w:eastAsia="仿宋"/>
          <w:sz w:val="28"/>
          <w:szCs w:val="28"/>
        </w:rPr>
        <w:t>团结</w:t>
      </w:r>
      <w:r>
        <w:rPr>
          <w:rFonts w:ascii="仿宋" w:hAnsi="仿宋" w:eastAsia="仿宋"/>
          <w:sz w:val="28"/>
          <w:szCs w:val="28"/>
        </w:rPr>
        <w:t>一</w:t>
      </w:r>
      <w:r>
        <w:rPr>
          <w:rFonts w:hint="eastAsia" w:ascii="仿宋" w:hAnsi="仿宋" w:eastAsia="仿宋"/>
          <w:sz w:val="28"/>
          <w:szCs w:val="28"/>
        </w:rPr>
        <w:t>致</w:t>
      </w:r>
      <w:r>
        <w:rPr>
          <w:rFonts w:ascii="仿宋" w:hAnsi="仿宋" w:eastAsia="仿宋"/>
          <w:sz w:val="28"/>
          <w:szCs w:val="28"/>
        </w:rPr>
        <w:t>，奋力拼搏，</w:t>
      </w:r>
      <w:r>
        <w:rPr>
          <w:rFonts w:hint="eastAsia" w:ascii="仿宋" w:hAnsi="仿宋" w:eastAsia="仿宋"/>
          <w:sz w:val="28"/>
          <w:szCs w:val="28"/>
        </w:rPr>
        <w:t>改革</w:t>
      </w:r>
      <w:r>
        <w:rPr>
          <w:rFonts w:ascii="仿宋" w:hAnsi="仿宋" w:eastAsia="仿宋"/>
          <w:sz w:val="28"/>
          <w:szCs w:val="28"/>
        </w:rPr>
        <w:t>创新，持续努力</w:t>
      </w:r>
      <w:r>
        <w:rPr>
          <w:rFonts w:hint="eastAsia" w:ascii="仿宋" w:hAnsi="仿宋" w:eastAsia="仿宋"/>
          <w:sz w:val="28"/>
          <w:szCs w:val="28"/>
        </w:rPr>
        <w:t>，一</w:t>
      </w:r>
      <w:r>
        <w:rPr>
          <w:rFonts w:ascii="仿宋" w:hAnsi="仿宋" w:eastAsia="仿宋"/>
          <w:sz w:val="28"/>
          <w:szCs w:val="28"/>
        </w:rPr>
        <w:t>定能够克服重重困难，实现并完成该校的</w:t>
      </w:r>
      <w:r>
        <w:rPr>
          <w:rFonts w:hint="eastAsia" w:ascii="仿宋" w:hAnsi="仿宋" w:eastAsia="仿宋"/>
          <w:sz w:val="28"/>
          <w:szCs w:val="28"/>
        </w:rPr>
        <w:t xml:space="preserve"> “‘十四五’高质量发展”的目标及任务，持续提升其人才培养的质量，</w:t>
      </w:r>
      <w:r>
        <w:rPr>
          <w:rFonts w:ascii="仿宋" w:hAnsi="仿宋" w:eastAsia="仿宋"/>
          <w:sz w:val="28"/>
          <w:szCs w:val="28"/>
        </w:rPr>
        <w:t>提升</w:t>
      </w:r>
      <w:r>
        <w:rPr>
          <w:rFonts w:hint="eastAsia" w:ascii="仿宋" w:hAnsi="仿宋" w:eastAsia="仿宋"/>
          <w:sz w:val="28"/>
          <w:szCs w:val="28"/>
        </w:rPr>
        <w:t>其</w:t>
      </w:r>
      <w:r>
        <w:rPr>
          <w:rFonts w:ascii="仿宋" w:hAnsi="仿宋" w:eastAsia="仿宋"/>
          <w:sz w:val="28"/>
          <w:szCs w:val="28"/>
        </w:rPr>
        <w:t>服务</w:t>
      </w:r>
      <w:r>
        <w:rPr>
          <w:rFonts w:hint="eastAsia" w:ascii="仿宋" w:hAnsi="仿宋" w:eastAsia="仿宋"/>
          <w:sz w:val="28"/>
          <w:szCs w:val="28"/>
        </w:rPr>
        <w:t>区域经济的能力，发挥</w:t>
      </w:r>
      <w:r>
        <w:rPr>
          <w:rFonts w:ascii="仿宋" w:hAnsi="仿宋" w:eastAsia="仿宋"/>
          <w:sz w:val="28"/>
          <w:szCs w:val="28"/>
        </w:rPr>
        <w:t>民办高校在高等教育</w:t>
      </w:r>
      <w:r>
        <w:rPr>
          <w:rFonts w:hint="eastAsia" w:ascii="仿宋" w:hAnsi="仿宋" w:eastAsia="仿宋"/>
          <w:sz w:val="28"/>
          <w:szCs w:val="28"/>
        </w:rPr>
        <w:t>强</w:t>
      </w:r>
      <w:r>
        <w:rPr>
          <w:rFonts w:ascii="仿宋" w:hAnsi="仿宋" w:eastAsia="仿宋"/>
          <w:sz w:val="28"/>
          <w:szCs w:val="28"/>
        </w:rPr>
        <w:t>国建设中</w:t>
      </w:r>
      <w:r>
        <w:rPr>
          <w:rFonts w:hint="eastAsia" w:ascii="仿宋" w:hAnsi="仿宋" w:eastAsia="仿宋"/>
          <w:sz w:val="28"/>
          <w:szCs w:val="28"/>
        </w:rPr>
        <w:t>不可或</w:t>
      </w:r>
      <w:r>
        <w:rPr>
          <w:rFonts w:ascii="仿宋" w:hAnsi="仿宋" w:eastAsia="仿宋"/>
          <w:sz w:val="28"/>
          <w:szCs w:val="28"/>
        </w:rPr>
        <w:t>缺的作用</w:t>
      </w:r>
      <w:r>
        <w:rPr>
          <w:rFonts w:hint="eastAsia" w:ascii="仿宋" w:hAnsi="仿宋" w:eastAsia="仿宋"/>
          <w:sz w:val="28"/>
          <w:szCs w:val="28"/>
        </w:rPr>
        <w:t>。</w:t>
      </w:r>
    </w:p>
    <w:p>
      <w:pPr>
        <w:adjustRightInd w:val="0"/>
        <w:snapToGrid w:val="0"/>
        <w:spacing w:line="360" w:lineRule="auto"/>
        <w:rPr>
          <w:rFonts w:ascii="仿宋" w:hAnsi="仿宋" w:eastAsia="仿宋"/>
          <w:sz w:val="28"/>
          <w:szCs w:val="28"/>
        </w:rPr>
      </w:pPr>
    </w:p>
    <w:p>
      <w:pPr>
        <w:rPr>
          <w:rFonts w:ascii="华文楷体" w:hAnsi="华文楷体" w:eastAsia="华文楷体"/>
          <w:sz w:val="32"/>
          <w:szCs w:val="32"/>
        </w:rPr>
      </w:pPr>
      <w:r>
        <w:rPr>
          <w:rFonts w:hint="eastAsia" w:ascii="华文楷体" w:hAnsi="华文楷体" w:eastAsia="华文楷体"/>
          <w:sz w:val="32"/>
          <w:szCs w:val="32"/>
        </w:rPr>
        <w:br w:type="page"/>
      </w:r>
    </w:p>
    <w:p>
      <w:pPr>
        <w:pStyle w:val="2"/>
        <w:spacing w:before="0" w:after="0" w:line="360" w:lineRule="auto"/>
        <w:ind w:firstLine="641" w:firstLineChars="200"/>
        <w:rPr>
          <w:rFonts w:ascii="黑体" w:hAnsi="黑体" w:eastAsia="黑体"/>
          <w:sz w:val="32"/>
          <w:szCs w:val="32"/>
        </w:rPr>
      </w:pPr>
      <w:bookmarkStart w:id="310" w:name="_Toc124087912"/>
      <w:r>
        <w:rPr>
          <w:rFonts w:hint="eastAsia" w:ascii="华文楷体" w:hAnsi="华文楷体" w:eastAsia="华文楷体"/>
          <w:sz w:val="32"/>
          <w:szCs w:val="32"/>
        </w:rPr>
        <w:t>附录：高等职业教育质量年度报告</w:t>
      </w:r>
      <w:bookmarkStart w:id="311" w:name="_Hlk122252697"/>
      <w:r>
        <w:rPr>
          <w:rFonts w:hint="eastAsia" w:ascii="华文楷体" w:hAnsi="华文楷体" w:eastAsia="华文楷体"/>
          <w:sz w:val="32"/>
          <w:szCs w:val="32"/>
        </w:rPr>
        <w:t>指标附</w:t>
      </w:r>
      <w:bookmarkEnd w:id="311"/>
      <w:r>
        <w:rPr>
          <w:rFonts w:hint="eastAsia" w:ascii="华文楷体" w:hAnsi="华文楷体" w:eastAsia="华文楷体"/>
          <w:sz w:val="32"/>
          <w:szCs w:val="32"/>
        </w:rPr>
        <w:t>表</w:t>
      </w:r>
      <w:bookmarkEnd w:id="310"/>
    </w:p>
    <w:p>
      <w:pPr>
        <w:adjustRightInd w:val="0"/>
        <w:snapToGrid w:val="0"/>
        <w:spacing w:line="360" w:lineRule="auto"/>
        <w:ind w:firstLine="480" w:firstLineChars="200"/>
        <w:rPr>
          <w:rFonts w:ascii="华文楷体" w:hAnsi="华文楷体" w:eastAsia="华文楷体"/>
          <w:sz w:val="24"/>
          <w:szCs w:val="24"/>
        </w:rPr>
      </w:pPr>
      <w:bookmarkStart w:id="312" w:name="_Hlk122252707"/>
      <w:r>
        <w:rPr>
          <w:rFonts w:hint="eastAsia" w:ascii="华文楷体" w:hAnsi="华文楷体" w:eastAsia="华文楷体"/>
          <w:b/>
          <w:bCs/>
          <w:sz w:val="24"/>
          <w:szCs w:val="24"/>
        </w:rPr>
        <w:t>指标附表</w:t>
      </w:r>
      <w:bookmarkEnd w:id="312"/>
      <w:r>
        <w:rPr>
          <w:rFonts w:hint="eastAsia" w:ascii="华文楷体" w:hAnsi="华文楷体" w:eastAsia="华文楷体"/>
          <w:b/>
          <w:bCs/>
          <w:sz w:val="24"/>
          <w:szCs w:val="24"/>
        </w:rPr>
        <w:t>1：计分卡</w:t>
      </w:r>
    </w:p>
    <w:p>
      <w:pPr>
        <w:adjustRightInd w:val="0"/>
        <w:snapToGrid w:val="0"/>
        <w:spacing w:line="360" w:lineRule="auto"/>
        <w:ind w:firstLine="480" w:firstLineChars="200"/>
        <w:jc w:val="center"/>
        <w:rPr>
          <w:rFonts w:ascii="华文楷体" w:hAnsi="华文楷体" w:eastAsia="华文楷体"/>
          <w:sz w:val="24"/>
          <w:szCs w:val="24"/>
        </w:rPr>
      </w:pPr>
      <w:r>
        <w:rPr>
          <w:rFonts w:ascii="华文楷体" w:hAnsi="华文楷体" w:eastAsia="华文楷体"/>
          <w:sz w:val="24"/>
          <w:szCs w:val="24"/>
        </w:rPr>
        <w:drawing>
          <wp:inline distT="0" distB="0" distL="0" distR="0">
            <wp:extent cx="5760085" cy="3612515"/>
            <wp:effectExtent l="0" t="0" r="5715" b="698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5760085" cy="3612515"/>
                    </a:xfrm>
                    <a:prstGeom prst="rect">
                      <a:avLst/>
                    </a:prstGeom>
                    <a:noFill/>
                    <a:ln>
                      <a:noFill/>
                    </a:ln>
                  </pic:spPr>
                </pic:pic>
              </a:graphicData>
            </a:graphic>
          </wp:inline>
        </w:drawing>
      </w:r>
    </w:p>
    <w:p>
      <w:pPr>
        <w:adjustRightInd w:val="0"/>
        <w:snapToGrid w:val="0"/>
        <w:spacing w:line="360" w:lineRule="auto"/>
        <w:rPr>
          <w:rFonts w:ascii="华文楷体" w:hAnsi="华文楷体" w:eastAsia="华文楷体"/>
          <w:sz w:val="24"/>
          <w:szCs w:val="24"/>
        </w:rPr>
      </w:pPr>
    </w:p>
    <w:p>
      <w:pPr>
        <w:adjustRightInd w:val="0"/>
        <w:snapToGrid w:val="0"/>
        <w:spacing w:line="360" w:lineRule="auto"/>
        <w:ind w:firstLine="480" w:firstLineChars="200"/>
        <w:rPr>
          <w:rFonts w:ascii="华文楷体" w:hAnsi="华文楷体" w:eastAsia="华文楷体"/>
          <w:b/>
          <w:bCs/>
          <w:sz w:val="24"/>
          <w:szCs w:val="24"/>
        </w:rPr>
      </w:pPr>
      <w:r>
        <w:rPr>
          <w:rFonts w:hint="eastAsia" w:ascii="华文楷体" w:hAnsi="华文楷体" w:eastAsia="华文楷体"/>
          <w:b/>
          <w:bCs/>
          <w:sz w:val="24"/>
          <w:szCs w:val="24"/>
        </w:rPr>
        <w:t>指标附表2：满意度调查表</w:t>
      </w:r>
    </w:p>
    <w:p>
      <w:pPr>
        <w:adjustRightInd w:val="0"/>
        <w:snapToGrid w:val="0"/>
        <w:spacing w:line="360" w:lineRule="auto"/>
        <w:ind w:firstLine="480" w:firstLineChars="200"/>
        <w:jc w:val="center"/>
        <w:rPr>
          <w:rFonts w:ascii="华文楷体" w:hAnsi="华文楷体" w:eastAsia="华文楷体"/>
          <w:sz w:val="24"/>
          <w:szCs w:val="24"/>
        </w:rPr>
      </w:pPr>
      <w:r>
        <w:rPr>
          <w:rFonts w:ascii="华文楷体" w:hAnsi="华文楷体" w:eastAsia="华文楷体"/>
          <w:sz w:val="24"/>
          <w:szCs w:val="24"/>
        </w:rPr>
        <w:drawing>
          <wp:inline distT="0" distB="0" distL="0" distR="0">
            <wp:extent cx="5760085" cy="4114165"/>
            <wp:effectExtent l="0" t="0" r="5715" b="63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5760085" cy="4114165"/>
                    </a:xfrm>
                    <a:prstGeom prst="rect">
                      <a:avLst/>
                    </a:prstGeom>
                    <a:noFill/>
                    <a:ln>
                      <a:noFill/>
                    </a:ln>
                  </pic:spPr>
                </pic:pic>
              </a:graphicData>
            </a:graphic>
          </wp:inline>
        </w:drawing>
      </w:r>
    </w:p>
    <w:p>
      <w:pPr>
        <w:adjustRightInd w:val="0"/>
        <w:snapToGrid w:val="0"/>
        <w:spacing w:line="360" w:lineRule="auto"/>
        <w:ind w:firstLine="480" w:firstLineChars="200"/>
        <w:rPr>
          <w:rFonts w:ascii="华文楷体" w:hAnsi="华文楷体" w:eastAsia="华文楷体"/>
          <w:b/>
          <w:bCs/>
          <w:sz w:val="24"/>
          <w:szCs w:val="24"/>
        </w:rPr>
      </w:pPr>
      <w:bookmarkStart w:id="313" w:name="_Hlk122252752"/>
      <w:r>
        <w:rPr>
          <w:rFonts w:hint="eastAsia" w:ascii="华文楷体" w:hAnsi="华文楷体" w:eastAsia="华文楷体"/>
          <w:b/>
          <w:bCs/>
          <w:sz w:val="24"/>
          <w:szCs w:val="24"/>
        </w:rPr>
        <w:t>指标附表</w:t>
      </w:r>
      <w:bookmarkEnd w:id="313"/>
      <w:r>
        <w:rPr>
          <w:rFonts w:hint="eastAsia" w:ascii="华文楷体" w:hAnsi="华文楷体" w:eastAsia="华文楷体"/>
          <w:b/>
          <w:bCs/>
          <w:sz w:val="24"/>
          <w:szCs w:val="24"/>
        </w:rPr>
        <w:t>3：教学资源表</w:t>
      </w:r>
    </w:p>
    <w:p>
      <w:pPr>
        <w:adjustRightInd w:val="0"/>
        <w:snapToGrid w:val="0"/>
        <w:spacing w:line="360" w:lineRule="auto"/>
        <w:ind w:firstLine="480" w:firstLineChars="200"/>
        <w:jc w:val="center"/>
        <w:rPr>
          <w:rFonts w:ascii="华文楷体" w:hAnsi="华文楷体" w:eastAsia="华文楷体"/>
          <w:sz w:val="24"/>
          <w:szCs w:val="24"/>
        </w:rPr>
      </w:pPr>
      <w:r>
        <w:rPr>
          <w:rFonts w:ascii="华文楷体" w:hAnsi="华文楷体" w:eastAsia="华文楷体"/>
          <w:sz w:val="24"/>
          <w:szCs w:val="24"/>
        </w:rPr>
        <w:drawing>
          <wp:inline distT="0" distB="0" distL="0" distR="0">
            <wp:extent cx="5060315" cy="8857615"/>
            <wp:effectExtent l="0" t="0" r="6985"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5060315" cy="8857615"/>
                    </a:xfrm>
                    <a:prstGeom prst="rect">
                      <a:avLst/>
                    </a:prstGeom>
                    <a:noFill/>
                    <a:ln>
                      <a:noFill/>
                    </a:ln>
                  </pic:spPr>
                </pic:pic>
              </a:graphicData>
            </a:graphic>
          </wp:inline>
        </w:drawing>
      </w:r>
    </w:p>
    <w:p>
      <w:pPr>
        <w:adjustRightInd w:val="0"/>
        <w:snapToGrid w:val="0"/>
        <w:spacing w:line="360" w:lineRule="auto"/>
        <w:ind w:firstLine="480" w:firstLineChars="200"/>
        <w:rPr>
          <w:rFonts w:ascii="华文楷体" w:hAnsi="华文楷体" w:eastAsia="华文楷体"/>
          <w:b/>
          <w:bCs/>
          <w:sz w:val="24"/>
          <w:szCs w:val="24"/>
        </w:rPr>
      </w:pPr>
      <w:bookmarkStart w:id="314" w:name="_Hlk122252773"/>
      <w:r>
        <w:rPr>
          <w:rFonts w:hint="eastAsia" w:ascii="华文楷体" w:hAnsi="华文楷体" w:eastAsia="华文楷体"/>
          <w:b/>
          <w:bCs/>
          <w:sz w:val="24"/>
          <w:szCs w:val="24"/>
        </w:rPr>
        <w:t>指标附表</w:t>
      </w:r>
      <w:bookmarkEnd w:id="314"/>
      <w:r>
        <w:rPr>
          <w:rFonts w:hint="eastAsia" w:ascii="华文楷体" w:hAnsi="华文楷体" w:eastAsia="华文楷体"/>
          <w:b/>
          <w:bCs/>
          <w:sz w:val="24"/>
          <w:szCs w:val="24"/>
        </w:rPr>
        <w:t>4：服务贡献表</w:t>
      </w:r>
    </w:p>
    <w:p>
      <w:pPr>
        <w:adjustRightInd w:val="0"/>
        <w:snapToGrid w:val="0"/>
        <w:spacing w:line="360" w:lineRule="auto"/>
        <w:ind w:firstLine="480" w:firstLineChars="200"/>
        <w:jc w:val="center"/>
        <w:rPr>
          <w:rFonts w:ascii="华文楷体" w:hAnsi="华文楷体" w:eastAsia="华文楷体"/>
          <w:sz w:val="24"/>
          <w:szCs w:val="24"/>
        </w:rPr>
      </w:pPr>
      <w:r>
        <w:rPr>
          <w:rFonts w:ascii="华文楷体" w:hAnsi="华文楷体" w:eastAsia="华文楷体"/>
          <w:sz w:val="24"/>
          <w:szCs w:val="24"/>
        </w:rPr>
        <w:drawing>
          <wp:inline distT="0" distB="0" distL="0" distR="0">
            <wp:extent cx="6120765" cy="612076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6120765" cy="6120765"/>
                    </a:xfrm>
                    <a:prstGeom prst="rect">
                      <a:avLst/>
                    </a:prstGeom>
                    <a:noFill/>
                    <a:ln>
                      <a:noFill/>
                    </a:ln>
                  </pic:spPr>
                </pic:pic>
              </a:graphicData>
            </a:graphic>
          </wp:inline>
        </w:drawing>
      </w:r>
    </w:p>
    <w:p>
      <w:pPr>
        <w:widowControl/>
        <w:jc w:val="left"/>
        <w:rPr>
          <w:rFonts w:ascii="华文楷体" w:hAnsi="华文楷体" w:eastAsia="华文楷体"/>
          <w:sz w:val="24"/>
          <w:szCs w:val="24"/>
        </w:rPr>
      </w:pPr>
      <w:r>
        <w:rPr>
          <w:rFonts w:ascii="华文楷体" w:hAnsi="华文楷体" w:eastAsia="华文楷体"/>
          <w:sz w:val="24"/>
          <w:szCs w:val="24"/>
        </w:rPr>
        <w:br w:type="page"/>
      </w:r>
    </w:p>
    <w:p>
      <w:pPr>
        <w:adjustRightInd w:val="0"/>
        <w:snapToGrid w:val="0"/>
        <w:spacing w:line="360" w:lineRule="auto"/>
        <w:ind w:firstLine="480" w:firstLineChars="200"/>
        <w:rPr>
          <w:rFonts w:ascii="华文楷体" w:hAnsi="华文楷体" w:eastAsia="华文楷体"/>
          <w:b/>
          <w:bCs/>
          <w:sz w:val="24"/>
          <w:szCs w:val="24"/>
        </w:rPr>
      </w:pPr>
      <w:r>
        <w:rPr>
          <w:rFonts w:hint="eastAsia" w:ascii="华文楷体" w:hAnsi="华文楷体" w:eastAsia="华文楷体"/>
          <w:b/>
          <w:bCs/>
          <w:sz w:val="24"/>
          <w:szCs w:val="24"/>
        </w:rPr>
        <w:t>指标附表5：落实政策表</w:t>
      </w:r>
    </w:p>
    <w:p>
      <w:pPr>
        <w:adjustRightInd w:val="0"/>
        <w:snapToGrid w:val="0"/>
        <w:spacing w:line="360" w:lineRule="auto"/>
        <w:ind w:firstLine="480" w:firstLineChars="200"/>
        <w:rPr>
          <w:rFonts w:ascii="华文楷体" w:hAnsi="华文楷体" w:eastAsia="华文楷体"/>
          <w:sz w:val="24"/>
          <w:szCs w:val="24"/>
        </w:rPr>
      </w:pPr>
      <w:r>
        <w:rPr>
          <w:rFonts w:ascii="华文楷体" w:hAnsi="华文楷体" w:eastAsia="华文楷体"/>
          <w:sz w:val="24"/>
          <w:szCs w:val="24"/>
        </w:rPr>
        <w:drawing>
          <wp:inline distT="0" distB="0" distL="0" distR="0">
            <wp:extent cx="5760085" cy="3455670"/>
            <wp:effectExtent l="0" t="0" r="5715" b="1143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5760085" cy="3455670"/>
                    </a:xfrm>
                    <a:prstGeom prst="rect">
                      <a:avLst/>
                    </a:prstGeom>
                    <a:noFill/>
                    <a:ln>
                      <a:noFill/>
                    </a:ln>
                  </pic:spPr>
                </pic:pic>
              </a:graphicData>
            </a:graphic>
          </wp:inline>
        </w:drawing>
      </w:r>
    </w:p>
    <w:p>
      <w:pPr>
        <w:adjustRightInd w:val="0"/>
        <w:snapToGrid w:val="0"/>
        <w:spacing w:line="360" w:lineRule="auto"/>
        <w:ind w:firstLine="480" w:firstLineChars="200"/>
        <w:rPr>
          <w:rFonts w:ascii="华文楷体" w:hAnsi="华文楷体" w:eastAsia="华文楷体"/>
          <w:sz w:val="24"/>
          <w:szCs w:val="24"/>
        </w:rPr>
      </w:pPr>
      <w:r>
        <w:rPr>
          <w:rFonts w:hint="eastAsia" w:ascii="华文楷体" w:hAnsi="华文楷体" w:eastAsia="华文楷体"/>
          <w:b/>
          <w:bCs/>
          <w:sz w:val="24"/>
          <w:szCs w:val="24"/>
        </w:rPr>
        <w:t>指标附表6：国际影响表</w:t>
      </w:r>
    </w:p>
    <w:p>
      <w:pPr>
        <w:adjustRightInd w:val="0"/>
        <w:snapToGrid w:val="0"/>
        <w:spacing w:line="360" w:lineRule="auto"/>
        <w:ind w:firstLine="480" w:firstLineChars="200"/>
        <w:rPr>
          <w:rFonts w:ascii="华文楷体" w:hAnsi="华文楷体" w:eastAsia="华文楷体"/>
          <w:sz w:val="24"/>
          <w:szCs w:val="24"/>
        </w:rPr>
      </w:pPr>
      <w:r>
        <w:rPr>
          <w:rFonts w:ascii="华文楷体" w:hAnsi="华文楷体" w:eastAsia="华文楷体"/>
          <w:sz w:val="24"/>
          <w:szCs w:val="24"/>
        </w:rPr>
        <w:drawing>
          <wp:inline distT="0" distB="0" distL="0" distR="0">
            <wp:extent cx="5760085" cy="3703320"/>
            <wp:effectExtent l="0" t="0" r="5715" b="508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5760085" cy="3703320"/>
                    </a:xfrm>
                    <a:prstGeom prst="rect">
                      <a:avLst/>
                    </a:prstGeom>
                    <a:noFill/>
                    <a:ln>
                      <a:noFill/>
                    </a:ln>
                  </pic:spPr>
                </pic:pic>
              </a:graphicData>
            </a:graphic>
          </wp:inline>
        </w:drawing>
      </w:r>
    </w:p>
    <w:p>
      <w:pPr>
        <w:adjustRightInd w:val="0"/>
        <w:snapToGrid w:val="0"/>
        <w:spacing w:line="360" w:lineRule="auto"/>
        <w:ind w:firstLine="480" w:firstLineChars="200"/>
        <w:rPr>
          <w:rFonts w:ascii="华文楷体" w:hAnsi="华文楷体" w:eastAsia="华文楷体"/>
          <w:sz w:val="24"/>
          <w:szCs w:val="24"/>
        </w:rPr>
      </w:pPr>
    </w:p>
    <w:p>
      <w:pPr>
        <w:adjustRightInd w:val="0"/>
        <w:snapToGrid w:val="0"/>
        <w:spacing w:line="360" w:lineRule="auto"/>
        <w:ind w:firstLine="480" w:firstLineChars="200"/>
        <w:rPr>
          <w:rFonts w:ascii="华文楷体" w:hAnsi="华文楷体" w:eastAsia="华文楷体"/>
          <w:sz w:val="24"/>
          <w:szCs w:val="24"/>
        </w:rPr>
      </w:pPr>
    </w:p>
    <w:p>
      <w:pPr>
        <w:adjustRightInd w:val="0"/>
        <w:snapToGrid w:val="0"/>
        <w:spacing w:line="360" w:lineRule="auto"/>
        <w:ind w:firstLine="480" w:firstLineChars="200"/>
        <w:rPr>
          <w:rFonts w:ascii="华文楷体" w:hAnsi="华文楷体" w:eastAsia="华文楷体"/>
          <w:sz w:val="24"/>
          <w:szCs w:val="24"/>
        </w:rPr>
      </w:pPr>
    </w:p>
    <w:p>
      <w:pPr>
        <w:adjustRightInd w:val="0"/>
        <w:snapToGrid w:val="0"/>
        <w:spacing w:line="360" w:lineRule="auto"/>
        <w:ind w:firstLine="480" w:firstLineChars="200"/>
        <w:rPr>
          <w:rFonts w:ascii="华文楷体" w:hAnsi="华文楷体" w:eastAsia="华文楷体"/>
          <w:b/>
          <w:bCs/>
          <w:sz w:val="24"/>
          <w:szCs w:val="24"/>
        </w:rPr>
        <w:sectPr>
          <w:footerReference r:id="rId14" w:type="first"/>
          <w:footerReference r:id="rId13" w:type="default"/>
          <w:type w:val="continuous"/>
          <w:pgSz w:w="11907" w:h="16840"/>
          <w:pgMar w:top="1134" w:right="1134" w:bottom="1134" w:left="1134" w:header="0" w:footer="0" w:gutter="0"/>
          <w:pgNumType w:start="1"/>
          <w:cols w:space="425" w:num="1"/>
          <w:titlePg/>
          <w:docGrid w:type="lines" w:linePitch="312" w:charSpace="0"/>
        </w:sectPr>
      </w:pPr>
    </w:p>
    <w:p>
      <w:pPr>
        <w:adjustRightInd w:val="0"/>
        <w:snapToGrid w:val="0"/>
        <w:spacing w:line="360" w:lineRule="auto"/>
        <w:ind w:firstLine="480" w:firstLineChars="200"/>
        <w:rPr>
          <w:rFonts w:ascii="华文楷体" w:hAnsi="华文楷体" w:eastAsia="华文楷体"/>
          <w:b/>
          <w:bCs/>
          <w:sz w:val="24"/>
          <w:szCs w:val="24"/>
        </w:rPr>
      </w:pPr>
    </w:p>
    <w:p>
      <w:pPr>
        <w:adjustRightInd w:val="0"/>
        <w:snapToGrid w:val="0"/>
        <w:spacing w:line="360" w:lineRule="auto"/>
        <w:ind w:firstLine="480" w:firstLineChars="200"/>
        <w:jc w:val="center"/>
        <w:rPr>
          <w:rFonts w:ascii="华文楷体" w:hAnsi="华文楷体" w:eastAsia="华文楷体"/>
          <w:sz w:val="24"/>
          <w:szCs w:val="24"/>
        </w:rPr>
      </w:pPr>
    </w:p>
    <w:p>
      <w:pPr>
        <w:adjustRightInd w:val="0"/>
        <w:snapToGrid w:val="0"/>
        <w:spacing w:line="360" w:lineRule="auto"/>
        <w:ind w:firstLine="480" w:firstLineChars="200"/>
        <w:rPr>
          <w:rFonts w:ascii="华文楷体" w:hAnsi="华文楷体" w:eastAsia="华文楷体"/>
          <w:b/>
          <w:bCs/>
          <w:sz w:val="24"/>
          <w:szCs w:val="24"/>
        </w:rPr>
      </w:pPr>
    </w:p>
    <w:p>
      <w:pPr>
        <w:adjustRightInd w:val="0"/>
        <w:snapToGrid w:val="0"/>
        <w:spacing w:line="360" w:lineRule="auto"/>
        <w:ind w:firstLine="480" w:firstLineChars="200"/>
        <w:jc w:val="center"/>
        <w:rPr>
          <w:rFonts w:ascii="华文楷体" w:hAnsi="华文楷体" w:eastAsia="华文楷体"/>
          <w:sz w:val="24"/>
          <w:szCs w:val="24"/>
        </w:rPr>
      </w:pPr>
    </w:p>
    <w:p>
      <w:pPr>
        <w:jc w:val="center"/>
        <w:rPr>
          <w:rFonts w:ascii="黑体" w:hAnsi="黑体" w:eastAsia="黑体"/>
          <w:b/>
          <w:bCs/>
          <w:sz w:val="36"/>
          <w:szCs w:val="36"/>
        </w:rPr>
      </w:pPr>
    </w:p>
    <w:p>
      <w:pPr>
        <w:rPr>
          <w:rFonts w:ascii="黑体" w:hAnsi="黑体" w:eastAsia="黑体"/>
          <w:b/>
          <w:bCs/>
          <w:sz w:val="36"/>
          <w:szCs w:val="36"/>
        </w:rPr>
      </w:pPr>
    </w:p>
    <w:p>
      <w:pPr>
        <w:rPr>
          <w:rFonts w:ascii="黑体" w:hAnsi="黑体" w:eastAsia="黑体"/>
          <w:b/>
          <w:bCs/>
          <w:sz w:val="36"/>
          <w:szCs w:val="36"/>
        </w:rPr>
      </w:pPr>
    </w:p>
    <w:sdt>
      <w:sdtPr>
        <w:id w:val="1897702040"/>
      </w:sdtPr>
      <w:sdtContent>
        <w:p>
          <w:r>
            <w:pict>
              <v:shape id="_x0000_s1039" o:spid="_x0000_s1039" o:spt="202" type="#_x0000_t202" style="position:absolute;left:0pt;margin-left:393.3pt;margin-top:341.1pt;height:142.5pt;width:69pt;z-index:251665408;mso-width-relative:page;mso-height-relative:page;" filled="f" stroked="f" coordsize="21600,21600">
                <v:path/>
                <v:fill on="f" focussize="0,0"/>
                <v:stroke on="f" joinstyle="miter"/>
                <v:imagedata o:title=""/>
                <o:lock v:ext="edit"/>
                <v:textbox style="layout-flow:vertical-ideographic;">
                  <w:txbxContent>
                    <w:p>
                      <w:pPr>
                        <w:rPr>
                          <w:rFonts w:ascii="华文行楷" w:eastAsia="华文行楷"/>
                          <w:sz w:val="32"/>
                          <w:szCs w:val="32"/>
                        </w:rPr>
                      </w:pPr>
                      <w:r>
                        <w:rPr>
                          <w:rFonts w:hint="eastAsia" w:ascii="华文行楷" w:eastAsia="华文行楷"/>
                          <w:sz w:val="32"/>
                          <w:szCs w:val="32"/>
                        </w:rPr>
                        <w:t>厚德、致知</w:t>
                      </w:r>
                    </w:p>
                    <w:p>
                      <w:pPr>
                        <w:rPr>
                          <w:rFonts w:ascii="华文行楷" w:eastAsia="华文行楷"/>
                          <w:sz w:val="32"/>
                          <w:szCs w:val="32"/>
                        </w:rPr>
                      </w:pPr>
                      <w:r>
                        <w:rPr>
                          <w:rFonts w:hint="eastAsia" w:ascii="华文行楷" w:eastAsia="华文行楷"/>
                          <w:sz w:val="32"/>
                          <w:szCs w:val="32"/>
                        </w:rPr>
                        <w:t>慎微、博大</w:t>
                      </w:r>
                    </w:p>
                  </w:txbxContent>
                </v:textbox>
              </v:shape>
            </w:pict>
          </w:r>
          <w:r>
            <w:drawing>
              <wp:anchor distT="0" distB="0" distL="114300" distR="114300" simplePos="0" relativeHeight="251665408" behindDoc="0" locked="0" layoutInCell="0" allowOverlap="1">
                <wp:simplePos x="0" y="0"/>
                <wp:positionH relativeFrom="page">
                  <wp:posOffset>-142875</wp:posOffset>
                </wp:positionH>
                <wp:positionV relativeFrom="page">
                  <wp:posOffset>3552825</wp:posOffset>
                </wp:positionV>
                <wp:extent cx="7701915" cy="3585210"/>
                <wp:effectExtent l="0" t="0" r="0" b="0"/>
                <wp:wrapNone/>
                <wp:docPr id="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
                        <pic:cNvPicPr>
                          <a:picLocks noChangeAspect="1"/>
                        </pic:cNvPicPr>
                      </pic:nvPicPr>
                      <pic:blipFill>
                        <a:blip r:embed="rId18" cstate="print">
                          <a:extLst>
                            <a:ext uri="{28A0092B-C50C-407E-A947-70E740481C1C}">
                              <a14:useLocalDpi xmlns:a14="http://schemas.microsoft.com/office/drawing/2010/main" val="0"/>
                            </a:ext>
                          </a:extLst>
                        </a:blip>
                        <a:srcRect l="-38081" r="-1"/>
                        <a:stretch>
                          <a:fillRect/>
                        </a:stretch>
                      </pic:blipFill>
                      <pic:spPr>
                        <a:xfrm>
                          <a:off x="0" y="0"/>
                          <a:ext cx="7701915" cy="3585210"/>
                        </a:xfrm>
                        <a:prstGeom prst="rect">
                          <a:avLst/>
                        </a:prstGeom>
                        <a:ln>
                          <a:noFill/>
                        </a:ln>
                      </pic:spPr>
                    </pic:pic>
                  </a:graphicData>
                </a:graphic>
              </wp:anchor>
            </w:drawing>
          </w:r>
          <w:r>
            <w:pict>
              <v:group id="_x0000_s1033" o:spid="_x0000_s1033" o:spt="203" style="position:absolute;left:0pt;margin-left:357pt;margin-top:0pt;height:842pt;width:238.15pt;mso-position-horizontal-relative:page;mso-position-vertical-relative:page;z-index:251663360;mso-width-relative:page;mso-height-relative:page;mso-width-percent:400;mso-height-percent:1000;" coordsize="31136,100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">
                <o:lock v:ext="edit"/>
                <v:rect id="矩形 459" o:spid="_x0000_s1034" o:spt="1" alt="Light vertical" style="position:absolute;left:0;top:0;height:100584;width:1385;v-text-anchor:middle;" fillcolor="#D5DCE4" filled="t" stroked="f"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">
                  <v:path/>
                  <v:fill on="t" focussize="0,0"/>
                  <v:stroke on="f"/>
                  <v:imagedata o:title=""/>
                  <o:lock v:ext="edit"/>
                </v:rect>
                <v:rect id="矩形 460" o:spid="_x0000_s1035" o:spt="1" style="position:absolute;left:1246;top:0;height:100584;width:29718;" fillcolor="#8496B0" filled="t" stroked="t"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">
                  <v:path/>
                  <v:fill on="t" focussize="0,0"/>
                  <v:stroke color="#D8D8D8"/>
                  <v:imagedata o:title=""/>
                  <o:lock v:ext="edit"/>
                </v:rect>
                <v:rect id="矩形 461" o:spid="_x0000_s1036" o:spt="1" style="position:absolute;left:138;top:0;height:23774;width:30998;v-text-anchor:bottom;" fillcolor="#8496B0" filled="t" stroked="f"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">
                  <v:path/>
                  <v:fill on="t" opacity="52428f" focussize="0,0"/>
                  <v:stroke on="f"/>
                  <v:imagedata o:title=""/>
                  <o:lock v:ext="edit"/>
                  <v:textbox inset="10.16mm,5.08mm,5.08mm,5.08mm">
                    <w:txbxContent>
                      <w:p>
                        <w:pPr>
                          <w:pStyle w:val="45"/>
                          <w:rPr>
                            <w:color w:val="CCE8CF" w:themeColor="background1"/>
                            <w:sz w:val="96"/>
                            <w:szCs w:val="96"/>
                          </w:rPr>
                        </w:pPr>
                      </w:p>
                    </w:txbxContent>
                  </v:textbox>
                </v:rect>
                <v:rect id="矩形 9" o:spid="_x0000_s1037" o:spt="1" style="position:absolute;left:0;top:67610;height:28333;width:30895;v-text-anchor:bottom;" filled="f" stroked="t"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">
                  <v:path/>
                  <v:fill on="f" focussize="0,0"/>
                  <v:stroke weight="1pt" color="#FFFFFF"/>
                  <v:imagedata o:title=""/>
                  <o:lock v:ext="edit"/>
                  <v:textbox inset="10.16mm,5.08mm,5.08mm,5.08mm">
                    <w:txbxContent>
                      <w:p>
                        <w:pPr>
                          <w:pStyle w:val="45"/>
                          <w:spacing w:line="360" w:lineRule="auto"/>
                          <w:jc w:val="center"/>
                          <w:rPr>
                            <w:rFonts w:ascii="仿宋_GB2312" w:hAnsi="黑体" w:eastAsia="仿宋_GB2312"/>
                            <w:b/>
                            <w:color w:val="CCE8CF" w:themeColor="background1"/>
                            <w:sz w:val="24"/>
                            <w:szCs w:val="24"/>
                          </w:rPr>
                        </w:pPr>
                      </w:p>
                      <w:p>
                        <w:pPr>
                          <w:pStyle w:val="45"/>
                          <w:spacing w:line="360" w:lineRule="auto"/>
                          <w:jc w:val="center"/>
                          <w:rPr>
                            <w:rFonts w:ascii="仿宋_GB2312" w:hAnsi="黑体" w:eastAsia="仿宋_GB2312"/>
                            <w:b/>
                            <w:color w:val="CCE8CF" w:themeColor="background1"/>
                            <w:sz w:val="24"/>
                            <w:szCs w:val="24"/>
                          </w:rPr>
                        </w:pPr>
                        <w:r>
                          <w:rPr>
                            <w:rFonts w:hint="eastAsia" w:ascii="仿宋_GB2312" w:hAnsi="黑体" w:eastAsia="仿宋_GB2312"/>
                            <w:b/>
                            <w:color w:val="CCE8CF" w:themeColor="background1"/>
                            <w:sz w:val="24"/>
                            <w:szCs w:val="24"/>
                          </w:rPr>
                          <w:t>苏州高博软件技术职业学院</w:t>
                        </w:r>
                      </w:p>
                      <w:p>
                        <w:pPr>
                          <w:pStyle w:val="45"/>
                          <w:spacing w:line="360" w:lineRule="auto"/>
                          <w:jc w:val="center"/>
                          <w:rPr>
                            <w:rFonts w:ascii="仿宋_GB2312" w:hAnsi="黑体" w:eastAsia="仿宋_GB2312"/>
                            <w:b/>
                            <w:color w:val="CCE8CF" w:themeColor="background1"/>
                            <w:sz w:val="24"/>
                            <w:szCs w:val="24"/>
                          </w:rPr>
                        </w:pPr>
                        <w:r>
                          <w:rPr>
                            <w:rFonts w:hint="eastAsia" w:ascii="仿宋_GB2312" w:hAnsi="黑体" w:eastAsia="仿宋_GB2312"/>
                            <w:b/>
                            <w:color w:val="CCE8CF" w:themeColor="background1"/>
                            <w:sz w:val="24"/>
                            <w:szCs w:val="24"/>
                          </w:rPr>
                          <w:t>二</w:t>
                        </w:r>
                        <w:r>
                          <w:rPr>
                            <w:rFonts w:hint="eastAsia" w:ascii="微软雅黑" w:hAnsi="微软雅黑" w:eastAsia="微软雅黑" w:cs="微软雅黑"/>
                            <w:b/>
                            <w:color w:val="CCE8CF" w:themeColor="background1"/>
                            <w:sz w:val="24"/>
                            <w:szCs w:val="24"/>
                          </w:rPr>
                          <w:t>〇</w:t>
                        </w:r>
                        <w:r>
                          <w:rPr>
                            <w:rFonts w:hint="eastAsia" w:ascii="仿宋_GB2312" w:hAnsi="仿宋_GB2312" w:eastAsia="仿宋_GB2312" w:cs="仿宋_GB2312"/>
                            <w:b/>
                            <w:color w:val="CCE8CF" w:themeColor="background1"/>
                            <w:sz w:val="24"/>
                            <w:szCs w:val="24"/>
                          </w:rPr>
                          <w:t>二二年十二月</w:t>
                        </w:r>
                      </w:p>
                      <w:p/>
                    </w:txbxContent>
                  </v:textbox>
                </v:rect>
              </v:group>
            </w:pict>
          </w:r>
        </w:p>
      </w:sdtContent>
    </w:sdt>
    <w:sectPr>
      <w:footerReference r:id="rId15" w:type="first"/>
      <w:type w:val="continuous"/>
      <w:pgSz w:w="11907" w:h="16840"/>
      <w:pgMar w:top="1134" w:right="1134" w:bottom="1134" w:left="1134" w:header="0" w:footer="0" w:gutter="0"/>
      <w:pgNumType w:start="1"/>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方正大标宋简体">
    <w:panose1 w:val="02000000000000000000"/>
    <w:charset w:val="86"/>
    <w:family w:val="auto"/>
    <w:pitch w:val="default"/>
    <w:sig w:usb0="A00002BF" w:usb1="184F6CFA" w:usb2="00000012" w:usb3="00000000" w:csb0="00040001" w:csb1="00000000"/>
  </w:font>
  <w:font w:name="仿宋">
    <w:panose1 w:val="02010609060101010101"/>
    <w:charset w:val="86"/>
    <w:family w:val="modern"/>
    <w:pitch w:val="default"/>
    <w:sig w:usb0="800002BF" w:usb1="38CF7CFA" w:usb2="00000016" w:usb3="00000000" w:csb0="00040001" w:csb1="00000000"/>
  </w:font>
  <w:font w:name="仿宋_GB2312">
    <w:panose1 w:val="02010609030101010101"/>
    <w:charset w:val="86"/>
    <w:family w:val="modern"/>
    <w:pitch w:val="default"/>
    <w:sig w:usb0="00000001" w:usb1="080E0000" w:usb2="00000000" w:usb3="00000000" w:csb0="00040000" w:csb1="00000000"/>
  </w:font>
  <w:font w:name="华文楷体">
    <w:panose1 w:val="02010600040101010101"/>
    <w:charset w:val="86"/>
    <w:family w:val="auto"/>
    <w:pitch w:val="default"/>
    <w:sig w:usb0="00000287" w:usb1="080F0000" w:usb2="00000000" w:usb3="00000000" w:csb0="0004009F" w:csb1="DFD70000"/>
  </w:font>
  <w:font w:name="楷体_GB2312">
    <w:panose1 w:val="02010609030101010101"/>
    <w:charset w:val="86"/>
    <w:family w:val="modern"/>
    <w:pitch w:val="default"/>
    <w:sig w:usb0="00000001" w:usb1="080E0000" w:usb2="00000000" w:usb3="00000000" w:csb0="00040000" w:csb1="00000000"/>
  </w:font>
  <w:font w:name="微软雅黑">
    <w:panose1 w:val="020B0503020204020204"/>
    <w:charset w:val="86"/>
    <w:family w:val="swiss"/>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 w:name="Tahoma">
    <w:panose1 w:val="020B0604030504040204"/>
    <w:charset w:val="00"/>
    <w:family w:val="swiss"/>
    <w:pitch w:val="default"/>
    <w:sig w:usb0="E1002EFF" w:usb1="C000605B" w:usb2="00000029" w:usb3="00000000" w:csb0="200101FF" w:csb1="20280000"/>
  </w:font>
  <w:font w:name="华文行楷">
    <w:panose1 w:val="02010800040101010101"/>
    <w:charset w:val="86"/>
    <w:family w:val="auto"/>
    <w:pitch w:val="default"/>
    <w:sig w:usb0="00000001" w:usb1="080F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pPr>
  </w:p>
  <w:p>
    <w:pPr>
      <w:pStyle w:val="11"/>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pPr>
  </w:p>
  <w:p>
    <w:pPr>
      <w:pStyle w:val="11"/>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6734616"/>
      <w:docPartObj>
        <w:docPartGallery w:val="autotext"/>
      </w:docPartObj>
    </w:sdtPr>
    <w:sdtContent>
      <w:p>
        <w:pPr>
          <w:pStyle w:val="11"/>
          <w:jc w:val="center"/>
        </w:pPr>
        <w:r>
          <w:fldChar w:fldCharType="begin"/>
        </w:r>
        <w:r>
          <w:instrText xml:space="preserve">PAGE   \* MERGEFORMAT</w:instrText>
        </w:r>
        <w:r>
          <w:fldChar w:fldCharType="separate"/>
        </w:r>
        <w:r>
          <w:rPr>
            <w:lang w:val="zh-CN"/>
          </w:rPr>
          <w:t>73</w:t>
        </w:r>
        <w:r>
          <w:fldChar w:fldCharType="end"/>
        </w:r>
      </w:p>
    </w:sdtContent>
  </w:sdt>
  <w:p>
    <w:pPr>
      <w:pStyle w:val="11"/>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02241643"/>
      <w:docPartObj>
        <w:docPartGallery w:val="autotext"/>
      </w:docPartObj>
    </w:sdtPr>
    <w:sdtContent>
      <w:p>
        <w:pPr>
          <w:pStyle w:val="11"/>
          <w:jc w:val="center"/>
        </w:pPr>
        <w:r>
          <w:fldChar w:fldCharType="begin"/>
        </w:r>
        <w:r>
          <w:instrText xml:space="preserve">PAGE   \* MERGEFORMAT</w:instrText>
        </w:r>
        <w:r>
          <w:fldChar w:fldCharType="separate"/>
        </w:r>
        <w:r>
          <w:rPr>
            <w:lang w:val="zh-CN"/>
          </w:rPr>
          <w:t>1</w:t>
        </w:r>
        <w:r>
          <w:fldChar w:fldCharType="end"/>
        </w:r>
      </w:p>
    </w:sdtContent>
  </w:sdt>
  <w:p>
    <w:pPr>
      <w:pStyle w:val="11"/>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pPr>
  </w:p>
  <w:p>
    <w:pPr>
      <w:pStyle w:val="1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53823396"/>
      <w:docPartObj>
        <w:docPartGallery w:val="autotext"/>
      </w:docPartObj>
    </w:sdtPr>
    <w:sdtContent>
      <w:p>
        <w:pPr>
          <w:pStyle w:val="11"/>
          <w:jc w:val="center"/>
        </w:pPr>
        <w:r>
          <w:fldChar w:fldCharType="begin"/>
        </w:r>
        <w:r>
          <w:instrText xml:space="preserve">PAGE   \* MERGEFORMAT</w:instrText>
        </w:r>
        <w:r>
          <w:fldChar w:fldCharType="separate"/>
        </w:r>
        <w:r>
          <w:rPr>
            <w:lang w:val="zh-CN"/>
          </w:rPr>
          <w:t>2</w:t>
        </w:r>
        <w:r>
          <w:fldChar w:fldCharType="end"/>
        </w:r>
      </w:p>
    </w:sdtContent>
  </w:sdt>
  <w:p>
    <w:pPr>
      <w:pStyle w:val="11"/>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453290780"/>
    </w:sdtPr>
    <w:sdtContent>
      <w:p>
        <w:pPr>
          <w:pStyle w:val="11"/>
          <w:jc w:val="center"/>
        </w:pPr>
        <w:r>
          <w:fldChar w:fldCharType="begin"/>
        </w:r>
        <w:r>
          <w:instrText xml:space="preserve">PAGE   \* MERGEFORMAT</w:instrText>
        </w:r>
        <w:r>
          <w:fldChar w:fldCharType="separate"/>
        </w:r>
        <w:r>
          <w:rPr>
            <w:lang w:val="zh-CN"/>
          </w:rPr>
          <w:t>1</w:t>
        </w:r>
        <w:r>
          <w:rPr>
            <w:lang w:val="zh-CN"/>
          </w:rPr>
          <w:fldChar w:fldCharType="end"/>
        </w:r>
      </w:p>
    </w:sdtContent>
  </w:sdt>
  <w:p>
    <w:pPr>
      <w:pStyle w:val="11"/>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53823396"/>
      <w:docPartObj>
        <w:docPartGallery w:val="autotext"/>
      </w:docPartObj>
    </w:sdtPr>
    <w:sdtContent>
      <w:p>
        <w:pPr>
          <w:pStyle w:val="11"/>
          <w:jc w:val="center"/>
        </w:pPr>
        <w:r>
          <w:fldChar w:fldCharType="begin"/>
        </w:r>
        <w:r>
          <w:instrText xml:space="preserve">PAGE   \* MERGEFORMAT</w:instrText>
        </w:r>
        <w:r>
          <w:fldChar w:fldCharType="separate"/>
        </w:r>
        <w:r>
          <w:rPr>
            <w:lang w:val="zh-CN"/>
          </w:rPr>
          <w:t>2</w:t>
        </w:r>
        <w:r>
          <w:fldChar w:fldCharType="end"/>
        </w:r>
      </w:p>
    </w:sdtContent>
  </w:sdt>
  <w:p>
    <w:pPr>
      <w:pStyle w:val="11"/>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pPr>
  </w:p>
  <w:p>
    <w:pPr>
      <w:pStyle w:val="11"/>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89"/>
    <w:multiLevelType w:val="singleLevel"/>
    <w:tmpl w:val="FFFFFF89"/>
    <w:lvl w:ilvl="0" w:tentative="0">
      <w:start w:val="1"/>
      <w:numFmt w:val="bullet"/>
      <w:pStyle w:val="6"/>
      <w:lvlText w:val=""/>
      <w:lvlJc w:val="left"/>
      <w:pPr>
        <w:tabs>
          <w:tab w:val="left" w:pos="360"/>
        </w:tabs>
        <w:ind w:left="360" w:hanging="360" w:hangingChars="200"/>
      </w:pPr>
      <w:rPr>
        <w:rFonts w:hint="default" w:ascii="Wingdings" w:hAnsi="Wingding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1"/>
  <w:bordersDoNotSurroundFooter w:val="1"/>
  <w:documentProtection w:enforcement="0"/>
  <w:defaultTabStop w:val="420"/>
  <w:drawingGridHorizontalSpacing w:val="105"/>
  <w:drawingGridVerticalSpacing w:val="156"/>
  <w:displayHorizontalDrawingGridEvery w:val="2"/>
  <w:displayVerticalDrawingGridEvery w:val="2"/>
  <w:characterSpacingControl w:val="doNotCompress"/>
  <w:compat>
    <w:useFELayout/>
    <w:compatSetting w:name="compatibilityMode" w:uri="http://schemas.microsoft.com/office/word" w:val="12"/>
  </w:compat>
  <w:docVars>
    <w:docVar w:name="commondata" w:val="eyJoZGlkIjoiNGE2OWM4NTQ2MWU0ZjFmZmU0ODIxMjA5NWM0NGVmNGIifQ=="/>
  </w:docVars>
  <w:rsids>
    <w:rsidRoot w:val="00592FD0"/>
    <w:rsid w:val="0000133B"/>
    <w:rsid w:val="00001A35"/>
    <w:rsid w:val="00001B5B"/>
    <w:rsid w:val="0000267E"/>
    <w:rsid w:val="00003043"/>
    <w:rsid w:val="00003202"/>
    <w:rsid w:val="000034F9"/>
    <w:rsid w:val="00003B7A"/>
    <w:rsid w:val="00003FE0"/>
    <w:rsid w:val="000042EC"/>
    <w:rsid w:val="0000448D"/>
    <w:rsid w:val="000046BB"/>
    <w:rsid w:val="00004839"/>
    <w:rsid w:val="00004972"/>
    <w:rsid w:val="00004AB2"/>
    <w:rsid w:val="00004BAA"/>
    <w:rsid w:val="00005578"/>
    <w:rsid w:val="00006B66"/>
    <w:rsid w:val="00006BC9"/>
    <w:rsid w:val="00007276"/>
    <w:rsid w:val="0001038C"/>
    <w:rsid w:val="000103B4"/>
    <w:rsid w:val="00010908"/>
    <w:rsid w:val="0001115D"/>
    <w:rsid w:val="00011991"/>
    <w:rsid w:val="00012506"/>
    <w:rsid w:val="00012723"/>
    <w:rsid w:val="00012F0D"/>
    <w:rsid w:val="00012F86"/>
    <w:rsid w:val="00013260"/>
    <w:rsid w:val="0001382C"/>
    <w:rsid w:val="00013AE3"/>
    <w:rsid w:val="00014250"/>
    <w:rsid w:val="00014588"/>
    <w:rsid w:val="000145D8"/>
    <w:rsid w:val="00014692"/>
    <w:rsid w:val="00014836"/>
    <w:rsid w:val="00014B6D"/>
    <w:rsid w:val="00014F0A"/>
    <w:rsid w:val="0001508B"/>
    <w:rsid w:val="00015310"/>
    <w:rsid w:val="000163D8"/>
    <w:rsid w:val="00016462"/>
    <w:rsid w:val="00016463"/>
    <w:rsid w:val="000168F7"/>
    <w:rsid w:val="0001711C"/>
    <w:rsid w:val="000175A9"/>
    <w:rsid w:val="00017994"/>
    <w:rsid w:val="000200A0"/>
    <w:rsid w:val="00020ACB"/>
    <w:rsid w:val="00020C2C"/>
    <w:rsid w:val="0002154C"/>
    <w:rsid w:val="00021F24"/>
    <w:rsid w:val="0002226A"/>
    <w:rsid w:val="000229E5"/>
    <w:rsid w:val="00023BDE"/>
    <w:rsid w:val="00023C92"/>
    <w:rsid w:val="0002408E"/>
    <w:rsid w:val="0002481B"/>
    <w:rsid w:val="00024B79"/>
    <w:rsid w:val="00024DBA"/>
    <w:rsid w:val="0002515B"/>
    <w:rsid w:val="0002552E"/>
    <w:rsid w:val="0002609D"/>
    <w:rsid w:val="00026773"/>
    <w:rsid w:val="0002691E"/>
    <w:rsid w:val="000272A7"/>
    <w:rsid w:val="00030508"/>
    <w:rsid w:val="000307F0"/>
    <w:rsid w:val="00030A0F"/>
    <w:rsid w:val="00031207"/>
    <w:rsid w:val="00031847"/>
    <w:rsid w:val="00031A13"/>
    <w:rsid w:val="000338A3"/>
    <w:rsid w:val="00033FDB"/>
    <w:rsid w:val="00035377"/>
    <w:rsid w:val="00035803"/>
    <w:rsid w:val="000368DF"/>
    <w:rsid w:val="000370CE"/>
    <w:rsid w:val="00037122"/>
    <w:rsid w:val="00037A11"/>
    <w:rsid w:val="00037F80"/>
    <w:rsid w:val="0004006A"/>
    <w:rsid w:val="00040121"/>
    <w:rsid w:val="000403B8"/>
    <w:rsid w:val="00041B5F"/>
    <w:rsid w:val="00041DF6"/>
    <w:rsid w:val="0004254A"/>
    <w:rsid w:val="00042F7C"/>
    <w:rsid w:val="00043337"/>
    <w:rsid w:val="000435CA"/>
    <w:rsid w:val="00043D42"/>
    <w:rsid w:val="00043D6C"/>
    <w:rsid w:val="00043EFA"/>
    <w:rsid w:val="0004414B"/>
    <w:rsid w:val="00044573"/>
    <w:rsid w:val="00045D21"/>
    <w:rsid w:val="00045DA7"/>
    <w:rsid w:val="00046C8A"/>
    <w:rsid w:val="00046D0B"/>
    <w:rsid w:val="000471B7"/>
    <w:rsid w:val="0004785F"/>
    <w:rsid w:val="0005052C"/>
    <w:rsid w:val="0005243A"/>
    <w:rsid w:val="000525E0"/>
    <w:rsid w:val="00052AAE"/>
    <w:rsid w:val="000533CA"/>
    <w:rsid w:val="0005385A"/>
    <w:rsid w:val="0005391F"/>
    <w:rsid w:val="000548D5"/>
    <w:rsid w:val="00054F54"/>
    <w:rsid w:val="000551B0"/>
    <w:rsid w:val="00055678"/>
    <w:rsid w:val="0005591A"/>
    <w:rsid w:val="000560D8"/>
    <w:rsid w:val="0005664C"/>
    <w:rsid w:val="0005664E"/>
    <w:rsid w:val="0005676A"/>
    <w:rsid w:val="00056FBB"/>
    <w:rsid w:val="00057422"/>
    <w:rsid w:val="00060034"/>
    <w:rsid w:val="00060492"/>
    <w:rsid w:val="00060678"/>
    <w:rsid w:val="00060AC5"/>
    <w:rsid w:val="00060AD9"/>
    <w:rsid w:val="0006111C"/>
    <w:rsid w:val="000618A8"/>
    <w:rsid w:val="00061AA1"/>
    <w:rsid w:val="0006215A"/>
    <w:rsid w:val="00063BD3"/>
    <w:rsid w:val="00063C5A"/>
    <w:rsid w:val="000644E5"/>
    <w:rsid w:val="0006508D"/>
    <w:rsid w:val="000650F2"/>
    <w:rsid w:val="00065730"/>
    <w:rsid w:val="0006574D"/>
    <w:rsid w:val="000657C4"/>
    <w:rsid w:val="0006591A"/>
    <w:rsid w:val="00065997"/>
    <w:rsid w:val="00065C46"/>
    <w:rsid w:val="00065FCD"/>
    <w:rsid w:val="000662F6"/>
    <w:rsid w:val="000663A7"/>
    <w:rsid w:val="00067396"/>
    <w:rsid w:val="00067525"/>
    <w:rsid w:val="000701AA"/>
    <w:rsid w:val="00070C1B"/>
    <w:rsid w:val="00071297"/>
    <w:rsid w:val="000712DC"/>
    <w:rsid w:val="0007187A"/>
    <w:rsid w:val="00071E47"/>
    <w:rsid w:val="0007214A"/>
    <w:rsid w:val="000727CB"/>
    <w:rsid w:val="00072A9C"/>
    <w:rsid w:val="0007363E"/>
    <w:rsid w:val="00074155"/>
    <w:rsid w:val="0007416C"/>
    <w:rsid w:val="00075670"/>
    <w:rsid w:val="00075F87"/>
    <w:rsid w:val="00076EED"/>
    <w:rsid w:val="00077513"/>
    <w:rsid w:val="00077575"/>
    <w:rsid w:val="00080A93"/>
    <w:rsid w:val="00080B5D"/>
    <w:rsid w:val="00080C32"/>
    <w:rsid w:val="000810C7"/>
    <w:rsid w:val="00082393"/>
    <w:rsid w:val="00082644"/>
    <w:rsid w:val="0008343F"/>
    <w:rsid w:val="00083D58"/>
    <w:rsid w:val="00083F44"/>
    <w:rsid w:val="000841F1"/>
    <w:rsid w:val="0008429E"/>
    <w:rsid w:val="000843BE"/>
    <w:rsid w:val="00084AB6"/>
    <w:rsid w:val="00084AD2"/>
    <w:rsid w:val="000850FD"/>
    <w:rsid w:val="00085275"/>
    <w:rsid w:val="00086BC2"/>
    <w:rsid w:val="00086D71"/>
    <w:rsid w:val="000878AE"/>
    <w:rsid w:val="00087AF4"/>
    <w:rsid w:val="00087BC2"/>
    <w:rsid w:val="000905A2"/>
    <w:rsid w:val="0009084C"/>
    <w:rsid w:val="0009115C"/>
    <w:rsid w:val="000911AD"/>
    <w:rsid w:val="000916A4"/>
    <w:rsid w:val="00091E20"/>
    <w:rsid w:val="00091EA5"/>
    <w:rsid w:val="00091F94"/>
    <w:rsid w:val="00092031"/>
    <w:rsid w:val="00092479"/>
    <w:rsid w:val="00092F28"/>
    <w:rsid w:val="00093231"/>
    <w:rsid w:val="00093A15"/>
    <w:rsid w:val="00093FE2"/>
    <w:rsid w:val="000942EA"/>
    <w:rsid w:val="0009471F"/>
    <w:rsid w:val="000949D1"/>
    <w:rsid w:val="000949FA"/>
    <w:rsid w:val="00094CBE"/>
    <w:rsid w:val="00094E40"/>
    <w:rsid w:val="00094F19"/>
    <w:rsid w:val="00094FFF"/>
    <w:rsid w:val="00095435"/>
    <w:rsid w:val="00095DDB"/>
    <w:rsid w:val="00095F96"/>
    <w:rsid w:val="0009624E"/>
    <w:rsid w:val="00096C2D"/>
    <w:rsid w:val="00096F51"/>
    <w:rsid w:val="00097148"/>
    <w:rsid w:val="0009750F"/>
    <w:rsid w:val="000975F9"/>
    <w:rsid w:val="00097A30"/>
    <w:rsid w:val="000A0202"/>
    <w:rsid w:val="000A034A"/>
    <w:rsid w:val="000A0485"/>
    <w:rsid w:val="000A0844"/>
    <w:rsid w:val="000A1268"/>
    <w:rsid w:val="000A180E"/>
    <w:rsid w:val="000A185F"/>
    <w:rsid w:val="000A18F6"/>
    <w:rsid w:val="000A34E8"/>
    <w:rsid w:val="000A35B7"/>
    <w:rsid w:val="000A3AB3"/>
    <w:rsid w:val="000A3B1E"/>
    <w:rsid w:val="000A3C4D"/>
    <w:rsid w:val="000A45B5"/>
    <w:rsid w:val="000A45FE"/>
    <w:rsid w:val="000A4942"/>
    <w:rsid w:val="000A552F"/>
    <w:rsid w:val="000A6071"/>
    <w:rsid w:val="000A64B2"/>
    <w:rsid w:val="000A6886"/>
    <w:rsid w:val="000A6B39"/>
    <w:rsid w:val="000A6E03"/>
    <w:rsid w:val="000A7298"/>
    <w:rsid w:val="000A7C63"/>
    <w:rsid w:val="000A7D74"/>
    <w:rsid w:val="000B0B94"/>
    <w:rsid w:val="000B10CC"/>
    <w:rsid w:val="000B1C4A"/>
    <w:rsid w:val="000B2079"/>
    <w:rsid w:val="000B21CF"/>
    <w:rsid w:val="000B229F"/>
    <w:rsid w:val="000B266B"/>
    <w:rsid w:val="000B2A4E"/>
    <w:rsid w:val="000B2B36"/>
    <w:rsid w:val="000B3E29"/>
    <w:rsid w:val="000B48C6"/>
    <w:rsid w:val="000B48D0"/>
    <w:rsid w:val="000B49B5"/>
    <w:rsid w:val="000B52F7"/>
    <w:rsid w:val="000B6729"/>
    <w:rsid w:val="000B6FC0"/>
    <w:rsid w:val="000B7876"/>
    <w:rsid w:val="000B790E"/>
    <w:rsid w:val="000C0426"/>
    <w:rsid w:val="000C072E"/>
    <w:rsid w:val="000C0F7E"/>
    <w:rsid w:val="000C185E"/>
    <w:rsid w:val="000C1BDD"/>
    <w:rsid w:val="000C1BFF"/>
    <w:rsid w:val="000C1FA6"/>
    <w:rsid w:val="000C222F"/>
    <w:rsid w:val="000C2365"/>
    <w:rsid w:val="000C238A"/>
    <w:rsid w:val="000C341F"/>
    <w:rsid w:val="000C35C0"/>
    <w:rsid w:val="000C40AB"/>
    <w:rsid w:val="000C41A1"/>
    <w:rsid w:val="000C4958"/>
    <w:rsid w:val="000C5076"/>
    <w:rsid w:val="000C6004"/>
    <w:rsid w:val="000C6632"/>
    <w:rsid w:val="000C6AEB"/>
    <w:rsid w:val="000C6BB0"/>
    <w:rsid w:val="000C6FCB"/>
    <w:rsid w:val="000C7346"/>
    <w:rsid w:val="000C7B1F"/>
    <w:rsid w:val="000D0B30"/>
    <w:rsid w:val="000D1C5F"/>
    <w:rsid w:val="000D1F8D"/>
    <w:rsid w:val="000D23B3"/>
    <w:rsid w:val="000D353E"/>
    <w:rsid w:val="000D38CC"/>
    <w:rsid w:val="000D3F01"/>
    <w:rsid w:val="000D4189"/>
    <w:rsid w:val="000D474A"/>
    <w:rsid w:val="000D571C"/>
    <w:rsid w:val="000D63BE"/>
    <w:rsid w:val="000D6636"/>
    <w:rsid w:val="000D70E4"/>
    <w:rsid w:val="000D76E7"/>
    <w:rsid w:val="000D7EFA"/>
    <w:rsid w:val="000E033C"/>
    <w:rsid w:val="000E0629"/>
    <w:rsid w:val="000E0832"/>
    <w:rsid w:val="000E23DC"/>
    <w:rsid w:val="000E2C94"/>
    <w:rsid w:val="000E2CD7"/>
    <w:rsid w:val="000E3803"/>
    <w:rsid w:val="000E43C4"/>
    <w:rsid w:val="000E496D"/>
    <w:rsid w:val="000E4A7B"/>
    <w:rsid w:val="000E4E22"/>
    <w:rsid w:val="000E57EC"/>
    <w:rsid w:val="000E5969"/>
    <w:rsid w:val="000E678F"/>
    <w:rsid w:val="000E74A5"/>
    <w:rsid w:val="000E74C4"/>
    <w:rsid w:val="000E7640"/>
    <w:rsid w:val="000E78FE"/>
    <w:rsid w:val="000E7CA6"/>
    <w:rsid w:val="000E7EAE"/>
    <w:rsid w:val="000F0B6C"/>
    <w:rsid w:val="000F0DAF"/>
    <w:rsid w:val="000F1F31"/>
    <w:rsid w:val="000F22B9"/>
    <w:rsid w:val="000F36DB"/>
    <w:rsid w:val="000F38F2"/>
    <w:rsid w:val="000F3961"/>
    <w:rsid w:val="000F5F0F"/>
    <w:rsid w:val="000F6225"/>
    <w:rsid w:val="000F66D9"/>
    <w:rsid w:val="000F67D8"/>
    <w:rsid w:val="000F7E97"/>
    <w:rsid w:val="000F7EC4"/>
    <w:rsid w:val="000F7F51"/>
    <w:rsid w:val="001002FE"/>
    <w:rsid w:val="00100BA5"/>
    <w:rsid w:val="00100F3B"/>
    <w:rsid w:val="00101370"/>
    <w:rsid w:val="00102014"/>
    <w:rsid w:val="001033D5"/>
    <w:rsid w:val="0010345A"/>
    <w:rsid w:val="00103825"/>
    <w:rsid w:val="00103B40"/>
    <w:rsid w:val="00103B9B"/>
    <w:rsid w:val="00105B0D"/>
    <w:rsid w:val="00105C8F"/>
    <w:rsid w:val="00105C97"/>
    <w:rsid w:val="001061ED"/>
    <w:rsid w:val="0010637C"/>
    <w:rsid w:val="00106E65"/>
    <w:rsid w:val="0010704B"/>
    <w:rsid w:val="001072C9"/>
    <w:rsid w:val="0011024B"/>
    <w:rsid w:val="00111223"/>
    <w:rsid w:val="0011154B"/>
    <w:rsid w:val="001119CF"/>
    <w:rsid w:val="0011240D"/>
    <w:rsid w:val="00112B08"/>
    <w:rsid w:val="00112DE7"/>
    <w:rsid w:val="00113196"/>
    <w:rsid w:val="00113303"/>
    <w:rsid w:val="00114268"/>
    <w:rsid w:val="0011467A"/>
    <w:rsid w:val="001154DF"/>
    <w:rsid w:val="00116143"/>
    <w:rsid w:val="00116314"/>
    <w:rsid w:val="00116387"/>
    <w:rsid w:val="00116458"/>
    <w:rsid w:val="00120429"/>
    <w:rsid w:val="001205F4"/>
    <w:rsid w:val="0012088E"/>
    <w:rsid w:val="0012151E"/>
    <w:rsid w:val="001215B1"/>
    <w:rsid w:val="001220F9"/>
    <w:rsid w:val="00122216"/>
    <w:rsid w:val="00122ADD"/>
    <w:rsid w:val="00122CA4"/>
    <w:rsid w:val="001236A1"/>
    <w:rsid w:val="001239EC"/>
    <w:rsid w:val="00124281"/>
    <w:rsid w:val="00124AEC"/>
    <w:rsid w:val="00124F41"/>
    <w:rsid w:val="001255C5"/>
    <w:rsid w:val="00125720"/>
    <w:rsid w:val="00125A23"/>
    <w:rsid w:val="001263CD"/>
    <w:rsid w:val="00126DCE"/>
    <w:rsid w:val="001307B4"/>
    <w:rsid w:val="00130A98"/>
    <w:rsid w:val="00130AE9"/>
    <w:rsid w:val="00130FFC"/>
    <w:rsid w:val="001320D2"/>
    <w:rsid w:val="00132301"/>
    <w:rsid w:val="00132DCE"/>
    <w:rsid w:val="00132E3E"/>
    <w:rsid w:val="00132EFE"/>
    <w:rsid w:val="0013316C"/>
    <w:rsid w:val="00133AE6"/>
    <w:rsid w:val="00134484"/>
    <w:rsid w:val="00135443"/>
    <w:rsid w:val="00135969"/>
    <w:rsid w:val="00135D1F"/>
    <w:rsid w:val="00136336"/>
    <w:rsid w:val="001364C0"/>
    <w:rsid w:val="00136861"/>
    <w:rsid w:val="00136977"/>
    <w:rsid w:val="001369C3"/>
    <w:rsid w:val="00136C89"/>
    <w:rsid w:val="00137243"/>
    <w:rsid w:val="00137AA3"/>
    <w:rsid w:val="00140602"/>
    <w:rsid w:val="00141164"/>
    <w:rsid w:val="001414E7"/>
    <w:rsid w:val="0014280D"/>
    <w:rsid w:val="00142C1F"/>
    <w:rsid w:val="00142E6B"/>
    <w:rsid w:val="00143286"/>
    <w:rsid w:val="00143559"/>
    <w:rsid w:val="001438EC"/>
    <w:rsid w:val="00144395"/>
    <w:rsid w:val="00144A87"/>
    <w:rsid w:val="001451B7"/>
    <w:rsid w:val="00145978"/>
    <w:rsid w:val="0014616D"/>
    <w:rsid w:val="001462E7"/>
    <w:rsid w:val="00147221"/>
    <w:rsid w:val="0014751B"/>
    <w:rsid w:val="0014764A"/>
    <w:rsid w:val="001476D0"/>
    <w:rsid w:val="00147CEE"/>
    <w:rsid w:val="001506C9"/>
    <w:rsid w:val="00150A68"/>
    <w:rsid w:val="001515E8"/>
    <w:rsid w:val="00151B70"/>
    <w:rsid w:val="00151C9C"/>
    <w:rsid w:val="00151CA1"/>
    <w:rsid w:val="001521DF"/>
    <w:rsid w:val="001529B4"/>
    <w:rsid w:val="00153578"/>
    <w:rsid w:val="001540F3"/>
    <w:rsid w:val="0015479A"/>
    <w:rsid w:val="00154813"/>
    <w:rsid w:val="0015487B"/>
    <w:rsid w:val="00154AD1"/>
    <w:rsid w:val="00155352"/>
    <w:rsid w:val="001556B0"/>
    <w:rsid w:val="00155CAD"/>
    <w:rsid w:val="00156350"/>
    <w:rsid w:val="00157445"/>
    <w:rsid w:val="0015757B"/>
    <w:rsid w:val="001576A5"/>
    <w:rsid w:val="001576D2"/>
    <w:rsid w:val="001601FB"/>
    <w:rsid w:val="00160219"/>
    <w:rsid w:val="00160485"/>
    <w:rsid w:val="0016057F"/>
    <w:rsid w:val="00160871"/>
    <w:rsid w:val="00160A17"/>
    <w:rsid w:val="00160DE7"/>
    <w:rsid w:val="00161164"/>
    <w:rsid w:val="0016118B"/>
    <w:rsid w:val="001611A0"/>
    <w:rsid w:val="001617C5"/>
    <w:rsid w:val="00161BC5"/>
    <w:rsid w:val="00162302"/>
    <w:rsid w:val="001623BF"/>
    <w:rsid w:val="001626E1"/>
    <w:rsid w:val="00162708"/>
    <w:rsid w:val="0016287C"/>
    <w:rsid w:val="0016333C"/>
    <w:rsid w:val="0016379C"/>
    <w:rsid w:val="0016382A"/>
    <w:rsid w:val="00163A9E"/>
    <w:rsid w:val="0016454C"/>
    <w:rsid w:val="001646FF"/>
    <w:rsid w:val="00164E68"/>
    <w:rsid w:val="001650FF"/>
    <w:rsid w:val="00166F12"/>
    <w:rsid w:val="00166F79"/>
    <w:rsid w:val="00167EAA"/>
    <w:rsid w:val="00170B7E"/>
    <w:rsid w:val="00170CBA"/>
    <w:rsid w:val="00171361"/>
    <w:rsid w:val="00171554"/>
    <w:rsid w:val="00171FE3"/>
    <w:rsid w:val="00172042"/>
    <w:rsid w:val="001727FC"/>
    <w:rsid w:val="00172C28"/>
    <w:rsid w:val="00174015"/>
    <w:rsid w:val="001740D1"/>
    <w:rsid w:val="00174C98"/>
    <w:rsid w:val="00174EE6"/>
    <w:rsid w:val="001753FC"/>
    <w:rsid w:val="00175975"/>
    <w:rsid w:val="00175AC5"/>
    <w:rsid w:val="00175B11"/>
    <w:rsid w:val="0017620F"/>
    <w:rsid w:val="00176F82"/>
    <w:rsid w:val="00177AD7"/>
    <w:rsid w:val="00180555"/>
    <w:rsid w:val="00180BB0"/>
    <w:rsid w:val="0018109A"/>
    <w:rsid w:val="00181611"/>
    <w:rsid w:val="00181F0F"/>
    <w:rsid w:val="00183656"/>
    <w:rsid w:val="00183A63"/>
    <w:rsid w:val="00183F04"/>
    <w:rsid w:val="00184264"/>
    <w:rsid w:val="00186210"/>
    <w:rsid w:val="0018635D"/>
    <w:rsid w:val="00186413"/>
    <w:rsid w:val="00186423"/>
    <w:rsid w:val="00186B66"/>
    <w:rsid w:val="00186F97"/>
    <w:rsid w:val="0018726C"/>
    <w:rsid w:val="001872A5"/>
    <w:rsid w:val="00187494"/>
    <w:rsid w:val="00187ED1"/>
    <w:rsid w:val="00190A4B"/>
    <w:rsid w:val="00191104"/>
    <w:rsid w:val="00191A75"/>
    <w:rsid w:val="00192770"/>
    <w:rsid w:val="00192E33"/>
    <w:rsid w:val="00192F31"/>
    <w:rsid w:val="00192FE3"/>
    <w:rsid w:val="0019311F"/>
    <w:rsid w:val="001932C0"/>
    <w:rsid w:val="00193F54"/>
    <w:rsid w:val="001944F0"/>
    <w:rsid w:val="0019468C"/>
    <w:rsid w:val="001948B4"/>
    <w:rsid w:val="00194E58"/>
    <w:rsid w:val="00194F22"/>
    <w:rsid w:val="00195001"/>
    <w:rsid w:val="00195296"/>
    <w:rsid w:val="00195787"/>
    <w:rsid w:val="001957A3"/>
    <w:rsid w:val="001958DD"/>
    <w:rsid w:val="00197EE0"/>
    <w:rsid w:val="001A0545"/>
    <w:rsid w:val="001A08E6"/>
    <w:rsid w:val="001A0F0B"/>
    <w:rsid w:val="001A13D4"/>
    <w:rsid w:val="001A1A35"/>
    <w:rsid w:val="001A2077"/>
    <w:rsid w:val="001A2E54"/>
    <w:rsid w:val="001A3089"/>
    <w:rsid w:val="001A3171"/>
    <w:rsid w:val="001A319D"/>
    <w:rsid w:val="001A3472"/>
    <w:rsid w:val="001A41D3"/>
    <w:rsid w:val="001A4626"/>
    <w:rsid w:val="001A4695"/>
    <w:rsid w:val="001A4793"/>
    <w:rsid w:val="001A47DB"/>
    <w:rsid w:val="001A4882"/>
    <w:rsid w:val="001A49BF"/>
    <w:rsid w:val="001A4DB0"/>
    <w:rsid w:val="001A5041"/>
    <w:rsid w:val="001A5449"/>
    <w:rsid w:val="001A5CCB"/>
    <w:rsid w:val="001A5E0F"/>
    <w:rsid w:val="001A6604"/>
    <w:rsid w:val="001A7630"/>
    <w:rsid w:val="001B00C7"/>
    <w:rsid w:val="001B01EC"/>
    <w:rsid w:val="001B02DE"/>
    <w:rsid w:val="001B0770"/>
    <w:rsid w:val="001B0AAA"/>
    <w:rsid w:val="001B0FC4"/>
    <w:rsid w:val="001B172F"/>
    <w:rsid w:val="001B2953"/>
    <w:rsid w:val="001B2AC1"/>
    <w:rsid w:val="001B2AE9"/>
    <w:rsid w:val="001B308B"/>
    <w:rsid w:val="001B47C1"/>
    <w:rsid w:val="001B492A"/>
    <w:rsid w:val="001B516A"/>
    <w:rsid w:val="001B615D"/>
    <w:rsid w:val="001B61A1"/>
    <w:rsid w:val="001B6FE0"/>
    <w:rsid w:val="001B7160"/>
    <w:rsid w:val="001B73EA"/>
    <w:rsid w:val="001B759B"/>
    <w:rsid w:val="001B792E"/>
    <w:rsid w:val="001B7A43"/>
    <w:rsid w:val="001B7D3F"/>
    <w:rsid w:val="001B7FB4"/>
    <w:rsid w:val="001C0B5B"/>
    <w:rsid w:val="001C0CF8"/>
    <w:rsid w:val="001C0EA9"/>
    <w:rsid w:val="001C1451"/>
    <w:rsid w:val="001C199C"/>
    <w:rsid w:val="001C19AE"/>
    <w:rsid w:val="001C1D79"/>
    <w:rsid w:val="001C205A"/>
    <w:rsid w:val="001C2355"/>
    <w:rsid w:val="001C2881"/>
    <w:rsid w:val="001C2BCF"/>
    <w:rsid w:val="001C3374"/>
    <w:rsid w:val="001C364A"/>
    <w:rsid w:val="001C3D60"/>
    <w:rsid w:val="001C4053"/>
    <w:rsid w:val="001C40B1"/>
    <w:rsid w:val="001C4412"/>
    <w:rsid w:val="001C4F54"/>
    <w:rsid w:val="001C4F6D"/>
    <w:rsid w:val="001C5702"/>
    <w:rsid w:val="001C5A41"/>
    <w:rsid w:val="001C5BC6"/>
    <w:rsid w:val="001C5E61"/>
    <w:rsid w:val="001C60AD"/>
    <w:rsid w:val="001D027C"/>
    <w:rsid w:val="001D0475"/>
    <w:rsid w:val="001D1117"/>
    <w:rsid w:val="001D112D"/>
    <w:rsid w:val="001D137A"/>
    <w:rsid w:val="001D1C8A"/>
    <w:rsid w:val="001D1EAE"/>
    <w:rsid w:val="001D26E7"/>
    <w:rsid w:val="001D2725"/>
    <w:rsid w:val="001D2F44"/>
    <w:rsid w:val="001D372E"/>
    <w:rsid w:val="001D4928"/>
    <w:rsid w:val="001D4A52"/>
    <w:rsid w:val="001D4FFE"/>
    <w:rsid w:val="001D5E71"/>
    <w:rsid w:val="001D5F7E"/>
    <w:rsid w:val="001D600A"/>
    <w:rsid w:val="001D66A6"/>
    <w:rsid w:val="001D69BA"/>
    <w:rsid w:val="001D6E7D"/>
    <w:rsid w:val="001D6E7F"/>
    <w:rsid w:val="001D71DE"/>
    <w:rsid w:val="001D72C3"/>
    <w:rsid w:val="001D752F"/>
    <w:rsid w:val="001D7926"/>
    <w:rsid w:val="001D7CC6"/>
    <w:rsid w:val="001E05CE"/>
    <w:rsid w:val="001E0FA4"/>
    <w:rsid w:val="001E1274"/>
    <w:rsid w:val="001E1605"/>
    <w:rsid w:val="001E1DA6"/>
    <w:rsid w:val="001E22E6"/>
    <w:rsid w:val="001E2520"/>
    <w:rsid w:val="001E2552"/>
    <w:rsid w:val="001E2721"/>
    <w:rsid w:val="001E39DC"/>
    <w:rsid w:val="001E3E21"/>
    <w:rsid w:val="001E3EDD"/>
    <w:rsid w:val="001E411D"/>
    <w:rsid w:val="001E41F7"/>
    <w:rsid w:val="001E4218"/>
    <w:rsid w:val="001E4AAE"/>
    <w:rsid w:val="001E4E9D"/>
    <w:rsid w:val="001E5108"/>
    <w:rsid w:val="001E5230"/>
    <w:rsid w:val="001E53D7"/>
    <w:rsid w:val="001E634C"/>
    <w:rsid w:val="001E65E2"/>
    <w:rsid w:val="001E6791"/>
    <w:rsid w:val="001E683A"/>
    <w:rsid w:val="001E6BA7"/>
    <w:rsid w:val="001E7007"/>
    <w:rsid w:val="001E70B5"/>
    <w:rsid w:val="001E7DBD"/>
    <w:rsid w:val="001F0F51"/>
    <w:rsid w:val="001F1459"/>
    <w:rsid w:val="001F1579"/>
    <w:rsid w:val="001F1C89"/>
    <w:rsid w:val="001F1CAE"/>
    <w:rsid w:val="001F1D42"/>
    <w:rsid w:val="001F1D98"/>
    <w:rsid w:val="001F23D8"/>
    <w:rsid w:val="001F2DB3"/>
    <w:rsid w:val="001F304C"/>
    <w:rsid w:val="001F3729"/>
    <w:rsid w:val="001F387D"/>
    <w:rsid w:val="001F4628"/>
    <w:rsid w:val="001F482C"/>
    <w:rsid w:val="001F4E71"/>
    <w:rsid w:val="001F58C8"/>
    <w:rsid w:val="001F64F7"/>
    <w:rsid w:val="001F666D"/>
    <w:rsid w:val="001F671E"/>
    <w:rsid w:val="001F69F3"/>
    <w:rsid w:val="001F6AA2"/>
    <w:rsid w:val="001F6CEF"/>
    <w:rsid w:val="001F6F94"/>
    <w:rsid w:val="001F7BAF"/>
    <w:rsid w:val="001F7E88"/>
    <w:rsid w:val="0020048C"/>
    <w:rsid w:val="00200B57"/>
    <w:rsid w:val="00200C76"/>
    <w:rsid w:val="00201081"/>
    <w:rsid w:val="0020211D"/>
    <w:rsid w:val="002026B4"/>
    <w:rsid w:val="002029DC"/>
    <w:rsid w:val="00203A43"/>
    <w:rsid w:val="00203B81"/>
    <w:rsid w:val="00203F9A"/>
    <w:rsid w:val="00204254"/>
    <w:rsid w:val="0020438A"/>
    <w:rsid w:val="00204EB2"/>
    <w:rsid w:val="00204F90"/>
    <w:rsid w:val="0020505B"/>
    <w:rsid w:val="00205D5C"/>
    <w:rsid w:val="00206048"/>
    <w:rsid w:val="002061C7"/>
    <w:rsid w:val="002061D3"/>
    <w:rsid w:val="00206344"/>
    <w:rsid w:val="00207102"/>
    <w:rsid w:val="00210328"/>
    <w:rsid w:val="00211292"/>
    <w:rsid w:val="00211459"/>
    <w:rsid w:val="00211931"/>
    <w:rsid w:val="00212467"/>
    <w:rsid w:val="00212AC8"/>
    <w:rsid w:val="0021366F"/>
    <w:rsid w:val="00213C23"/>
    <w:rsid w:val="002148BE"/>
    <w:rsid w:val="00214E82"/>
    <w:rsid w:val="00215919"/>
    <w:rsid w:val="00215A79"/>
    <w:rsid w:val="00216713"/>
    <w:rsid w:val="00216C8E"/>
    <w:rsid w:val="00216D0C"/>
    <w:rsid w:val="00217B2B"/>
    <w:rsid w:val="00220195"/>
    <w:rsid w:val="00220231"/>
    <w:rsid w:val="00220A2A"/>
    <w:rsid w:val="0022126C"/>
    <w:rsid w:val="002217ED"/>
    <w:rsid w:val="00221C75"/>
    <w:rsid w:val="00222837"/>
    <w:rsid w:val="00223265"/>
    <w:rsid w:val="0022389C"/>
    <w:rsid w:val="00223A16"/>
    <w:rsid w:val="002246D0"/>
    <w:rsid w:val="00226193"/>
    <w:rsid w:val="00226323"/>
    <w:rsid w:val="00226E34"/>
    <w:rsid w:val="00226F97"/>
    <w:rsid w:val="0022762D"/>
    <w:rsid w:val="00227C71"/>
    <w:rsid w:val="00230A6A"/>
    <w:rsid w:val="00230DB6"/>
    <w:rsid w:val="00230FEB"/>
    <w:rsid w:val="0023259C"/>
    <w:rsid w:val="00232BA9"/>
    <w:rsid w:val="00232BC7"/>
    <w:rsid w:val="00232F75"/>
    <w:rsid w:val="00233743"/>
    <w:rsid w:val="0023427F"/>
    <w:rsid w:val="00235279"/>
    <w:rsid w:val="002356D7"/>
    <w:rsid w:val="0023589A"/>
    <w:rsid w:val="00235D56"/>
    <w:rsid w:val="0023652A"/>
    <w:rsid w:val="002365C9"/>
    <w:rsid w:val="0023707E"/>
    <w:rsid w:val="002378E7"/>
    <w:rsid w:val="002401E1"/>
    <w:rsid w:val="002403F3"/>
    <w:rsid w:val="0024069B"/>
    <w:rsid w:val="00241F94"/>
    <w:rsid w:val="002422C9"/>
    <w:rsid w:val="00242944"/>
    <w:rsid w:val="00243399"/>
    <w:rsid w:val="00243EE7"/>
    <w:rsid w:val="002445A7"/>
    <w:rsid w:val="00244D55"/>
    <w:rsid w:val="002457FF"/>
    <w:rsid w:val="0024583F"/>
    <w:rsid w:val="00245945"/>
    <w:rsid w:val="0024638C"/>
    <w:rsid w:val="00246BC5"/>
    <w:rsid w:val="00246D83"/>
    <w:rsid w:val="00247076"/>
    <w:rsid w:val="00247C19"/>
    <w:rsid w:val="002507DC"/>
    <w:rsid w:val="002512FD"/>
    <w:rsid w:val="002515FE"/>
    <w:rsid w:val="002524D6"/>
    <w:rsid w:val="00252EAC"/>
    <w:rsid w:val="00252EE6"/>
    <w:rsid w:val="00253140"/>
    <w:rsid w:val="0025391D"/>
    <w:rsid w:val="00254159"/>
    <w:rsid w:val="00254B12"/>
    <w:rsid w:val="00254BB1"/>
    <w:rsid w:val="0025519A"/>
    <w:rsid w:val="0025578C"/>
    <w:rsid w:val="00255FFE"/>
    <w:rsid w:val="00256CE7"/>
    <w:rsid w:val="002574FE"/>
    <w:rsid w:val="002579E1"/>
    <w:rsid w:val="00257DF3"/>
    <w:rsid w:val="002606EA"/>
    <w:rsid w:val="00260A54"/>
    <w:rsid w:val="00261109"/>
    <w:rsid w:val="002614B7"/>
    <w:rsid w:val="0026157D"/>
    <w:rsid w:val="00261A0B"/>
    <w:rsid w:val="0026270B"/>
    <w:rsid w:val="00262725"/>
    <w:rsid w:val="00262958"/>
    <w:rsid w:val="00262969"/>
    <w:rsid w:val="00262ACF"/>
    <w:rsid w:val="00263323"/>
    <w:rsid w:val="00263392"/>
    <w:rsid w:val="002658A4"/>
    <w:rsid w:val="0026595D"/>
    <w:rsid w:val="00265CFD"/>
    <w:rsid w:val="00266E3F"/>
    <w:rsid w:val="00267C59"/>
    <w:rsid w:val="0027017D"/>
    <w:rsid w:val="0027063A"/>
    <w:rsid w:val="0027066C"/>
    <w:rsid w:val="00271AA5"/>
    <w:rsid w:val="00271D37"/>
    <w:rsid w:val="00271E5E"/>
    <w:rsid w:val="00271EA3"/>
    <w:rsid w:val="00272B28"/>
    <w:rsid w:val="002734CA"/>
    <w:rsid w:val="00273734"/>
    <w:rsid w:val="00274ABE"/>
    <w:rsid w:val="00274DA4"/>
    <w:rsid w:val="002755A6"/>
    <w:rsid w:val="00275BD7"/>
    <w:rsid w:val="00276B82"/>
    <w:rsid w:val="00276D71"/>
    <w:rsid w:val="00276F63"/>
    <w:rsid w:val="0027759E"/>
    <w:rsid w:val="0027793A"/>
    <w:rsid w:val="00280ED5"/>
    <w:rsid w:val="002810BB"/>
    <w:rsid w:val="00281A7C"/>
    <w:rsid w:val="002820A7"/>
    <w:rsid w:val="00282378"/>
    <w:rsid w:val="00283C97"/>
    <w:rsid w:val="00284B32"/>
    <w:rsid w:val="00284D6F"/>
    <w:rsid w:val="00285150"/>
    <w:rsid w:val="00285E4A"/>
    <w:rsid w:val="00286312"/>
    <w:rsid w:val="00286EDA"/>
    <w:rsid w:val="002871DF"/>
    <w:rsid w:val="00287825"/>
    <w:rsid w:val="002879CC"/>
    <w:rsid w:val="00287B98"/>
    <w:rsid w:val="002908F7"/>
    <w:rsid w:val="00290AB4"/>
    <w:rsid w:val="00291967"/>
    <w:rsid w:val="002919E8"/>
    <w:rsid w:val="002928FB"/>
    <w:rsid w:val="00292C75"/>
    <w:rsid w:val="00292D7F"/>
    <w:rsid w:val="00294210"/>
    <w:rsid w:val="00294A2A"/>
    <w:rsid w:val="00295530"/>
    <w:rsid w:val="002956F3"/>
    <w:rsid w:val="002959F1"/>
    <w:rsid w:val="002960A4"/>
    <w:rsid w:val="002969F2"/>
    <w:rsid w:val="00296AD8"/>
    <w:rsid w:val="002973D6"/>
    <w:rsid w:val="00297B64"/>
    <w:rsid w:val="002A024B"/>
    <w:rsid w:val="002A081E"/>
    <w:rsid w:val="002A102A"/>
    <w:rsid w:val="002A1374"/>
    <w:rsid w:val="002A1C05"/>
    <w:rsid w:val="002A1D2F"/>
    <w:rsid w:val="002A213B"/>
    <w:rsid w:val="002A2251"/>
    <w:rsid w:val="002A245D"/>
    <w:rsid w:val="002A2913"/>
    <w:rsid w:val="002A2B32"/>
    <w:rsid w:val="002A2CF6"/>
    <w:rsid w:val="002A2F09"/>
    <w:rsid w:val="002A2FF9"/>
    <w:rsid w:val="002A3A86"/>
    <w:rsid w:val="002A3EE9"/>
    <w:rsid w:val="002A41E6"/>
    <w:rsid w:val="002A4491"/>
    <w:rsid w:val="002A4D44"/>
    <w:rsid w:val="002A5504"/>
    <w:rsid w:val="002A55B0"/>
    <w:rsid w:val="002A5714"/>
    <w:rsid w:val="002A5DEB"/>
    <w:rsid w:val="002A5F52"/>
    <w:rsid w:val="002A6153"/>
    <w:rsid w:val="002A6414"/>
    <w:rsid w:val="002A6DFD"/>
    <w:rsid w:val="002A6F21"/>
    <w:rsid w:val="002B00B9"/>
    <w:rsid w:val="002B01AE"/>
    <w:rsid w:val="002B033B"/>
    <w:rsid w:val="002B09E8"/>
    <w:rsid w:val="002B1B67"/>
    <w:rsid w:val="002B2486"/>
    <w:rsid w:val="002B248B"/>
    <w:rsid w:val="002B278F"/>
    <w:rsid w:val="002B31B2"/>
    <w:rsid w:val="002B3221"/>
    <w:rsid w:val="002B385E"/>
    <w:rsid w:val="002B38C9"/>
    <w:rsid w:val="002B3DC3"/>
    <w:rsid w:val="002B49CD"/>
    <w:rsid w:val="002B595A"/>
    <w:rsid w:val="002B5AFE"/>
    <w:rsid w:val="002B5B64"/>
    <w:rsid w:val="002B5DC7"/>
    <w:rsid w:val="002B5E14"/>
    <w:rsid w:val="002B6324"/>
    <w:rsid w:val="002B688C"/>
    <w:rsid w:val="002B6C44"/>
    <w:rsid w:val="002B71EA"/>
    <w:rsid w:val="002B78C4"/>
    <w:rsid w:val="002B7BDE"/>
    <w:rsid w:val="002B7F9D"/>
    <w:rsid w:val="002C0C35"/>
    <w:rsid w:val="002C1105"/>
    <w:rsid w:val="002C15AC"/>
    <w:rsid w:val="002C191D"/>
    <w:rsid w:val="002C2A4E"/>
    <w:rsid w:val="002C357C"/>
    <w:rsid w:val="002C3642"/>
    <w:rsid w:val="002C37FD"/>
    <w:rsid w:val="002C3CEA"/>
    <w:rsid w:val="002C4D80"/>
    <w:rsid w:val="002C543D"/>
    <w:rsid w:val="002C556F"/>
    <w:rsid w:val="002C55AE"/>
    <w:rsid w:val="002C5BC9"/>
    <w:rsid w:val="002C62CD"/>
    <w:rsid w:val="002C66C8"/>
    <w:rsid w:val="002C6EB1"/>
    <w:rsid w:val="002C6EC7"/>
    <w:rsid w:val="002C7193"/>
    <w:rsid w:val="002C7A1F"/>
    <w:rsid w:val="002D00DE"/>
    <w:rsid w:val="002D04AF"/>
    <w:rsid w:val="002D08FD"/>
    <w:rsid w:val="002D0AB5"/>
    <w:rsid w:val="002D177B"/>
    <w:rsid w:val="002D1875"/>
    <w:rsid w:val="002D252B"/>
    <w:rsid w:val="002D2C20"/>
    <w:rsid w:val="002D3306"/>
    <w:rsid w:val="002D3417"/>
    <w:rsid w:val="002D37CD"/>
    <w:rsid w:val="002D383E"/>
    <w:rsid w:val="002D4161"/>
    <w:rsid w:val="002D484B"/>
    <w:rsid w:val="002D4C60"/>
    <w:rsid w:val="002D4CA9"/>
    <w:rsid w:val="002D51EB"/>
    <w:rsid w:val="002D56D6"/>
    <w:rsid w:val="002D581E"/>
    <w:rsid w:val="002D59D0"/>
    <w:rsid w:val="002D5B82"/>
    <w:rsid w:val="002D5E57"/>
    <w:rsid w:val="002D6760"/>
    <w:rsid w:val="002D689D"/>
    <w:rsid w:val="002D6ADC"/>
    <w:rsid w:val="002D6D62"/>
    <w:rsid w:val="002D71A1"/>
    <w:rsid w:val="002D725F"/>
    <w:rsid w:val="002D7FFC"/>
    <w:rsid w:val="002E0035"/>
    <w:rsid w:val="002E03CB"/>
    <w:rsid w:val="002E0717"/>
    <w:rsid w:val="002E0D48"/>
    <w:rsid w:val="002E1081"/>
    <w:rsid w:val="002E1522"/>
    <w:rsid w:val="002E1FDC"/>
    <w:rsid w:val="002E2121"/>
    <w:rsid w:val="002E2962"/>
    <w:rsid w:val="002E2A86"/>
    <w:rsid w:val="002E3F25"/>
    <w:rsid w:val="002E41A7"/>
    <w:rsid w:val="002E481D"/>
    <w:rsid w:val="002E4B6D"/>
    <w:rsid w:val="002E5695"/>
    <w:rsid w:val="002E6456"/>
    <w:rsid w:val="002E65A6"/>
    <w:rsid w:val="002E6C00"/>
    <w:rsid w:val="002F0237"/>
    <w:rsid w:val="002F1121"/>
    <w:rsid w:val="002F18F0"/>
    <w:rsid w:val="002F1C28"/>
    <w:rsid w:val="002F1CB3"/>
    <w:rsid w:val="002F3A3E"/>
    <w:rsid w:val="002F3B23"/>
    <w:rsid w:val="002F485E"/>
    <w:rsid w:val="002F4AD7"/>
    <w:rsid w:val="002F59D4"/>
    <w:rsid w:val="002F5A94"/>
    <w:rsid w:val="002F5B13"/>
    <w:rsid w:val="002F62E5"/>
    <w:rsid w:val="002F67DD"/>
    <w:rsid w:val="002F6CE4"/>
    <w:rsid w:val="002F7797"/>
    <w:rsid w:val="002F7B68"/>
    <w:rsid w:val="002F7FC7"/>
    <w:rsid w:val="00300871"/>
    <w:rsid w:val="00300A5E"/>
    <w:rsid w:val="00300F2D"/>
    <w:rsid w:val="00301763"/>
    <w:rsid w:val="0030198B"/>
    <w:rsid w:val="00302296"/>
    <w:rsid w:val="00302390"/>
    <w:rsid w:val="00303346"/>
    <w:rsid w:val="0030578E"/>
    <w:rsid w:val="003058D2"/>
    <w:rsid w:val="00305AA7"/>
    <w:rsid w:val="00305BE1"/>
    <w:rsid w:val="00305E2F"/>
    <w:rsid w:val="003060F5"/>
    <w:rsid w:val="0030631E"/>
    <w:rsid w:val="003066E0"/>
    <w:rsid w:val="00306CF2"/>
    <w:rsid w:val="003070A5"/>
    <w:rsid w:val="00307227"/>
    <w:rsid w:val="003073ED"/>
    <w:rsid w:val="00310A9F"/>
    <w:rsid w:val="00311C38"/>
    <w:rsid w:val="00312476"/>
    <w:rsid w:val="00312534"/>
    <w:rsid w:val="00312616"/>
    <w:rsid w:val="00313B93"/>
    <w:rsid w:val="00313EED"/>
    <w:rsid w:val="0031416C"/>
    <w:rsid w:val="0031493C"/>
    <w:rsid w:val="00314A93"/>
    <w:rsid w:val="00314E37"/>
    <w:rsid w:val="00314F8F"/>
    <w:rsid w:val="00315087"/>
    <w:rsid w:val="003153BA"/>
    <w:rsid w:val="00315541"/>
    <w:rsid w:val="0031577D"/>
    <w:rsid w:val="0031587C"/>
    <w:rsid w:val="00315EEA"/>
    <w:rsid w:val="00316B09"/>
    <w:rsid w:val="003175A3"/>
    <w:rsid w:val="00317775"/>
    <w:rsid w:val="00317843"/>
    <w:rsid w:val="003208D2"/>
    <w:rsid w:val="00320942"/>
    <w:rsid w:val="00320A8B"/>
    <w:rsid w:val="003214FC"/>
    <w:rsid w:val="00321521"/>
    <w:rsid w:val="0032217A"/>
    <w:rsid w:val="00322AF6"/>
    <w:rsid w:val="00322E11"/>
    <w:rsid w:val="003233AD"/>
    <w:rsid w:val="00323BF2"/>
    <w:rsid w:val="00323C79"/>
    <w:rsid w:val="003242AA"/>
    <w:rsid w:val="00324DC1"/>
    <w:rsid w:val="00325E66"/>
    <w:rsid w:val="003260F4"/>
    <w:rsid w:val="00326395"/>
    <w:rsid w:val="00326AAA"/>
    <w:rsid w:val="00326C04"/>
    <w:rsid w:val="00326C26"/>
    <w:rsid w:val="0032749A"/>
    <w:rsid w:val="003275B6"/>
    <w:rsid w:val="00327805"/>
    <w:rsid w:val="00327D18"/>
    <w:rsid w:val="0033019D"/>
    <w:rsid w:val="00330B55"/>
    <w:rsid w:val="00331156"/>
    <w:rsid w:val="00331634"/>
    <w:rsid w:val="00331C2B"/>
    <w:rsid w:val="00332BE9"/>
    <w:rsid w:val="00332D07"/>
    <w:rsid w:val="003334FD"/>
    <w:rsid w:val="0033356D"/>
    <w:rsid w:val="00333596"/>
    <w:rsid w:val="003335A7"/>
    <w:rsid w:val="00333679"/>
    <w:rsid w:val="00333B44"/>
    <w:rsid w:val="0033465A"/>
    <w:rsid w:val="00334770"/>
    <w:rsid w:val="0033494C"/>
    <w:rsid w:val="00334A0B"/>
    <w:rsid w:val="00334B20"/>
    <w:rsid w:val="0033556B"/>
    <w:rsid w:val="00335FA2"/>
    <w:rsid w:val="00336223"/>
    <w:rsid w:val="00336398"/>
    <w:rsid w:val="00336BB0"/>
    <w:rsid w:val="00337215"/>
    <w:rsid w:val="00337EB7"/>
    <w:rsid w:val="003401DA"/>
    <w:rsid w:val="0034047B"/>
    <w:rsid w:val="00340D6C"/>
    <w:rsid w:val="00341548"/>
    <w:rsid w:val="00341C35"/>
    <w:rsid w:val="00341EE0"/>
    <w:rsid w:val="003430F5"/>
    <w:rsid w:val="00343340"/>
    <w:rsid w:val="00343490"/>
    <w:rsid w:val="00344DC6"/>
    <w:rsid w:val="00344E61"/>
    <w:rsid w:val="00344F44"/>
    <w:rsid w:val="00345FB7"/>
    <w:rsid w:val="00346294"/>
    <w:rsid w:val="003464D3"/>
    <w:rsid w:val="003467B3"/>
    <w:rsid w:val="00346BC3"/>
    <w:rsid w:val="00346E80"/>
    <w:rsid w:val="00346F56"/>
    <w:rsid w:val="00350135"/>
    <w:rsid w:val="0035017D"/>
    <w:rsid w:val="003501EC"/>
    <w:rsid w:val="0035049B"/>
    <w:rsid w:val="003504B8"/>
    <w:rsid w:val="00350670"/>
    <w:rsid w:val="00350D04"/>
    <w:rsid w:val="00350D09"/>
    <w:rsid w:val="00350D24"/>
    <w:rsid w:val="003517F5"/>
    <w:rsid w:val="00351E6C"/>
    <w:rsid w:val="003522AE"/>
    <w:rsid w:val="00352BE1"/>
    <w:rsid w:val="00352BFD"/>
    <w:rsid w:val="0035314C"/>
    <w:rsid w:val="00353208"/>
    <w:rsid w:val="00353581"/>
    <w:rsid w:val="0035398A"/>
    <w:rsid w:val="00354030"/>
    <w:rsid w:val="00354268"/>
    <w:rsid w:val="003543EB"/>
    <w:rsid w:val="00354998"/>
    <w:rsid w:val="00354ECB"/>
    <w:rsid w:val="0035532A"/>
    <w:rsid w:val="003554A8"/>
    <w:rsid w:val="0035578B"/>
    <w:rsid w:val="00355BE0"/>
    <w:rsid w:val="00355CB9"/>
    <w:rsid w:val="00355DEA"/>
    <w:rsid w:val="003563A6"/>
    <w:rsid w:val="003563F0"/>
    <w:rsid w:val="00356403"/>
    <w:rsid w:val="00356765"/>
    <w:rsid w:val="00356AE1"/>
    <w:rsid w:val="00356C0A"/>
    <w:rsid w:val="003572C0"/>
    <w:rsid w:val="003575AB"/>
    <w:rsid w:val="00357E21"/>
    <w:rsid w:val="00360502"/>
    <w:rsid w:val="00360CFA"/>
    <w:rsid w:val="003612F4"/>
    <w:rsid w:val="0036160A"/>
    <w:rsid w:val="00361A41"/>
    <w:rsid w:val="00361E55"/>
    <w:rsid w:val="0036235E"/>
    <w:rsid w:val="003623F4"/>
    <w:rsid w:val="00362772"/>
    <w:rsid w:val="00362A85"/>
    <w:rsid w:val="00362AC9"/>
    <w:rsid w:val="00362C66"/>
    <w:rsid w:val="00363019"/>
    <w:rsid w:val="0036358E"/>
    <w:rsid w:val="00363D97"/>
    <w:rsid w:val="00364BB8"/>
    <w:rsid w:val="00364D7B"/>
    <w:rsid w:val="00365103"/>
    <w:rsid w:val="0036569E"/>
    <w:rsid w:val="003658C1"/>
    <w:rsid w:val="003659F1"/>
    <w:rsid w:val="00366064"/>
    <w:rsid w:val="0036619A"/>
    <w:rsid w:val="003664C0"/>
    <w:rsid w:val="00366D95"/>
    <w:rsid w:val="00367321"/>
    <w:rsid w:val="00367878"/>
    <w:rsid w:val="00367E02"/>
    <w:rsid w:val="00367F50"/>
    <w:rsid w:val="00370471"/>
    <w:rsid w:val="00370699"/>
    <w:rsid w:val="00370B5E"/>
    <w:rsid w:val="00370BC4"/>
    <w:rsid w:val="00370D2B"/>
    <w:rsid w:val="00370EC8"/>
    <w:rsid w:val="00370FFA"/>
    <w:rsid w:val="00371C18"/>
    <w:rsid w:val="003724F3"/>
    <w:rsid w:val="00372EF0"/>
    <w:rsid w:val="0037366C"/>
    <w:rsid w:val="00373972"/>
    <w:rsid w:val="003740BC"/>
    <w:rsid w:val="00374489"/>
    <w:rsid w:val="00374C83"/>
    <w:rsid w:val="0037621D"/>
    <w:rsid w:val="003770D5"/>
    <w:rsid w:val="00377663"/>
    <w:rsid w:val="00377CB9"/>
    <w:rsid w:val="003803CF"/>
    <w:rsid w:val="00380666"/>
    <w:rsid w:val="00380AB4"/>
    <w:rsid w:val="0038111C"/>
    <w:rsid w:val="0038115C"/>
    <w:rsid w:val="00381BED"/>
    <w:rsid w:val="00381E47"/>
    <w:rsid w:val="00381F62"/>
    <w:rsid w:val="003822E2"/>
    <w:rsid w:val="003824C2"/>
    <w:rsid w:val="00382611"/>
    <w:rsid w:val="00382811"/>
    <w:rsid w:val="003830A4"/>
    <w:rsid w:val="0038361A"/>
    <w:rsid w:val="003837DF"/>
    <w:rsid w:val="00383F27"/>
    <w:rsid w:val="00384181"/>
    <w:rsid w:val="0038456E"/>
    <w:rsid w:val="00384CD5"/>
    <w:rsid w:val="00385029"/>
    <w:rsid w:val="003853C5"/>
    <w:rsid w:val="0038576B"/>
    <w:rsid w:val="00385BB6"/>
    <w:rsid w:val="00385C49"/>
    <w:rsid w:val="00385F2F"/>
    <w:rsid w:val="00386AE7"/>
    <w:rsid w:val="00387529"/>
    <w:rsid w:val="003876D3"/>
    <w:rsid w:val="00387B68"/>
    <w:rsid w:val="00387BAE"/>
    <w:rsid w:val="00387FD0"/>
    <w:rsid w:val="00387FE3"/>
    <w:rsid w:val="003900AC"/>
    <w:rsid w:val="00390316"/>
    <w:rsid w:val="0039110F"/>
    <w:rsid w:val="00391AA4"/>
    <w:rsid w:val="0039251A"/>
    <w:rsid w:val="0039251F"/>
    <w:rsid w:val="003927F3"/>
    <w:rsid w:val="00393D99"/>
    <w:rsid w:val="0039415F"/>
    <w:rsid w:val="003941AC"/>
    <w:rsid w:val="003946E3"/>
    <w:rsid w:val="00394941"/>
    <w:rsid w:val="0039533E"/>
    <w:rsid w:val="00395452"/>
    <w:rsid w:val="00395D01"/>
    <w:rsid w:val="00395E76"/>
    <w:rsid w:val="00395F9C"/>
    <w:rsid w:val="003966AB"/>
    <w:rsid w:val="00396AF0"/>
    <w:rsid w:val="00396B83"/>
    <w:rsid w:val="00396D41"/>
    <w:rsid w:val="0039705C"/>
    <w:rsid w:val="003978E1"/>
    <w:rsid w:val="00397BD5"/>
    <w:rsid w:val="003A0896"/>
    <w:rsid w:val="003A0A07"/>
    <w:rsid w:val="003A0D21"/>
    <w:rsid w:val="003A0EF8"/>
    <w:rsid w:val="003A1A5D"/>
    <w:rsid w:val="003A1B88"/>
    <w:rsid w:val="003A20F4"/>
    <w:rsid w:val="003A23B2"/>
    <w:rsid w:val="003A2C8F"/>
    <w:rsid w:val="003A39EE"/>
    <w:rsid w:val="003A3E64"/>
    <w:rsid w:val="003A410D"/>
    <w:rsid w:val="003A4334"/>
    <w:rsid w:val="003A4576"/>
    <w:rsid w:val="003A4728"/>
    <w:rsid w:val="003A48EA"/>
    <w:rsid w:val="003A4B10"/>
    <w:rsid w:val="003A5166"/>
    <w:rsid w:val="003A5307"/>
    <w:rsid w:val="003A53FF"/>
    <w:rsid w:val="003A55CF"/>
    <w:rsid w:val="003A5BDF"/>
    <w:rsid w:val="003A621D"/>
    <w:rsid w:val="003A6670"/>
    <w:rsid w:val="003A70A2"/>
    <w:rsid w:val="003A75AC"/>
    <w:rsid w:val="003A7CF4"/>
    <w:rsid w:val="003B0185"/>
    <w:rsid w:val="003B1559"/>
    <w:rsid w:val="003B1FD9"/>
    <w:rsid w:val="003B26B0"/>
    <w:rsid w:val="003B2993"/>
    <w:rsid w:val="003B2C2A"/>
    <w:rsid w:val="003B3680"/>
    <w:rsid w:val="003B3A72"/>
    <w:rsid w:val="003B6092"/>
    <w:rsid w:val="003B6351"/>
    <w:rsid w:val="003B6604"/>
    <w:rsid w:val="003B67BC"/>
    <w:rsid w:val="003B734D"/>
    <w:rsid w:val="003B7FC3"/>
    <w:rsid w:val="003C04DA"/>
    <w:rsid w:val="003C079E"/>
    <w:rsid w:val="003C0953"/>
    <w:rsid w:val="003C153F"/>
    <w:rsid w:val="003C1C46"/>
    <w:rsid w:val="003C2068"/>
    <w:rsid w:val="003C229A"/>
    <w:rsid w:val="003C2DC1"/>
    <w:rsid w:val="003C36A9"/>
    <w:rsid w:val="003C3860"/>
    <w:rsid w:val="003C3DB4"/>
    <w:rsid w:val="003C4ACC"/>
    <w:rsid w:val="003C4B63"/>
    <w:rsid w:val="003C4B8F"/>
    <w:rsid w:val="003C52BE"/>
    <w:rsid w:val="003C58B5"/>
    <w:rsid w:val="003C5FD3"/>
    <w:rsid w:val="003C64D2"/>
    <w:rsid w:val="003C6B25"/>
    <w:rsid w:val="003D0211"/>
    <w:rsid w:val="003D05B1"/>
    <w:rsid w:val="003D082F"/>
    <w:rsid w:val="003D0981"/>
    <w:rsid w:val="003D0BB1"/>
    <w:rsid w:val="003D0C1E"/>
    <w:rsid w:val="003D0D88"/>
    <w:rsid w:val="003D0EBE"/>
    <w:rsid w:val="003D10C2"/>
    <w:rsid w:val="003D1B23"/>
    <w:rsid w:val="003D1B76"/>
    <w:rsid w:val="003D1DC4"/>
    <w:rsid w:val="003D1F85"/>
    <w:rsid w:val="003D2735"/>
    <w:rsid w:val="003D2847"/>
    <w:rsid w:val="003D295D"/>
    <w:rsid w:val="003D3129"/>
    <w:rsid w:val="003D3281"/>
    <w:rsid w:val="003D3865"/>
    <w:rsid w:val="003D3CD6"/>
    <w:rsid w:val="003D44F6"/>
    <w:rsid w:val="003D476E"/>
    <w:rsid w:val="003D560E"/>
    <w:rsid w:val="003D5627"/>
    <w:rsid w:val="003D5F0C"/>
    <w:rsid w:val="003D619D"/>
    <w:rsid w:val="003D73ED"/>
    <w:rsid w:val="003D74F6"/>
    <w:rsid w:val="003D7DD6"/>
    <w:rsid w:val="003E075B"/>
    <w:rsid w:val="003E0894"/>
    <w:rsid w:val="003E0CF8"/>
    <w:rsid w:val="003E0E90"/>
    <w:rsid w:val="003E1495"/>
    <w:rsid w:val="003E1588"/>
    <w:rsid w:val="003E18F2"/>
    <w:rsid w:val="003E1C4B"/>
    <w:rsid w:val="003E20D6"/>
    <w:rsid w:val="003E21DF"/>
    <w:rsid w:val="003E2379"/>
    <w:rsid w:val="003E2440"/>
    <w:rsid w:val="003E259A"/>
    <w:rsid w:val="003E2B78"/>
    <w:rsid w:val="003E2E15"/>
    <w:rsid w:val="003E3125"/>
    <w:rsid w:val="003E4EBE"/>
    <w:rsid w:val="003E5374"/>
    <w:rsid w:val="003E54A2"/>
    <w:rsid w:val="003E5960"/>
    <w:rsid w:val="003E68E2"/>
    <w:rsid w:val="003E6BEB"/>
    <w:rsid w:val="003E749D"/>
    <w:rsid w:val="003E785A"/>
    <w:rsid w:val="003F00AE"/>
    <w:rsid w:val="003F011A"/>
    <w:rsid w:val="003F0229"/>
    <w:rsid w:val="003F04FD"/>
    <w:rsid w:val="003F097E"/>
    <w:rsid w:val="003F0D80"/>
    <w:rsid w:val="003F1662"/>
    <w:rsid w:val="003F1B35"/>
    <w:rsid w:val="003F1CD8"/>
    <w:rsid w:val="003F1D71"/>
    <w:rsid w:val="003F25F5"/>
    <w:rsid w:val="003F2999"/>
    <w:rsid w:val="003F31D3"/>
    <w:rsid w:val="003F337A"/>
    <w:rsid w:val="003F33C8"/>
    <w:rsid w:val="003F3416"/>
    <w:rsid w:val="003F3501"/>
    <w:rsid w:val="003F38BD"/>
    <w:rsid w:val="003F4110"/>
    <w:rsid w:val="003F42F2"/>
    <w:rsid w:val="003F44E9"/>
    <w:rsid w:val="003F4812"/>
    <w:rsid w:val="003F49D8"/>
    <w:rsid w:val="003F5410"/>
    <w:rsid w:val="003F567E"/>
    <w:rsid w:val="003F6B4F"/>
    <w:rsid w:val="003F7082"/>
    <w:rsid w:val="003F73B4"/>
    <w:rsid w:val="003F79CE"/>
    <w:rsid w:val="004000B0"/>
    <w:rsid w:val="0040157E"/>
    <w:rsid w:val="004016AC"/>
    <w:rsid w:val="00401AF5"/>
    <w:rsid w:val="00402477"/>
    <w:rsid w:val="00402584"/>
    <w:rsid w:val="004025C6"/>
    <w:rsid w:val="00402623"/>
    <w:rsid w:val="00402971"/>
    <w:rsid w:val="00402D93"/>
    <w:rsid w:val="0040309A"/>
    <w:rsid w:val="00403605"/>
    <w:rsid w:val="004042CF"/>
    <w:rsid w:val="00404609"/>
    <w:rsid w:val="004047DB"/>
    <w:rsid w:val="00404D68"/>
    <w:rsid w:val="004050E1"/>
    <w:rsid w:val="00405941"/>
    <w:rsid w:val="00405E22"/>
    <w:rsid w:val="00405E50"/>
    <w:rsid w:val="00405FB0"/>
    <w:rsid w:val="00406390"/>
    <w:rsid w:val="004069DF"/>
    <w:rsid w:val="00406BD9"/>
    <w:rsid w:val="004077BF"/>
    <w:rsid w:val="004078FD"/>
    <w:rsid w:val="00407A01"/>
    <w:rsid w:val="00407EF2"/>
    <w:rsid w:val="00410181"/>
    <w:rsid w:val="00410710"/>
    <w:rsid w:val="00410CC1"/>
    <w:rsid w:val="004111FD"/>
    <w:rsid w:val="0041143E"/>
    <w:rsid w:val="00411BA1"/>
    <w:rsid w:val="004120FE"/>
    <w:rsid w:val="00412198"/>
    <w:rsid w:val="00412541"/>
    <w:rsid w:val="00412D6B"/>
    <w:rsid w:val="00412ED3"/>
    <w:rsid w:val="00412F97"/>
    <w:rsid w:val="00413958"/>
    <w:rsid w:val="00413C71"/>
    <w:rsid w:val="00413F8E"/>
    <w:rsid w:val="00414005"/>
    <w:rsid w:val="0041454C"/>
    <w:rsid w:val="004149B7"/>
    <w:rsid w:val="00414D6A"/>
    <w:rsid w:val="00415148"/>
    <w:rsid w:val="00415918"/>
    <w:rsid w:val="0041604E"/>
    <w:rsid w:val="0041610B"/>
    <w:rsid w:val="004163B8"/>
    <w:rsid w:val="004175A8"/>
    <w:rsid w:val="00417608"/>
    <w:rsid w:val="0041766B"/>
    <w:rsid w:val="00417805"/>
    <w:rsid w:val="00417EEC"/>
    <w:rsid w:val="00420059"/>
    <w:rsid w:val="00420145"/>
    <w:rsid w:val="00420316"/>
    <w:rsid w:val="00420C8F"/>
    <w:rsid w:val="00420F60"/>
    <w:rsid w:val="00421363"/>
    <w:rsid w:val="00421390"/>
    <w:rsid w:val="004214D2"/>
    <w:rsid w:val="00421E8E"/>
    <w:rsid w:val="00422187"/>
    <w:rsid w:val="00422544"/>
    <w:rsid w:val="00422920"/>
    <w:rsid w:val="00422D23"/>
    <w:rsid w:val="00422EA4"/>
    <w:rsid w:val="004240EF"/>
    <w:rsid w:val="00424565"/>
    <w:rsid w:val="00424B08"/>
    <w:rsid w:val="004253F8"/>
    <w:rsid w:val="004268C2"/>
    <w:rsid w:val="004268C3"/>
    <w:rsid w:val="0042719A"/>
    <w:rsid w:val="00427354"/>
    <w:rsid w:val="00430448"/>
    <w:rsid w:val="004308D7"/>
    <w:rsid w:val="00430ABD"/>
    <w:rsid w:val="00430D8F"/>
    <w:rsid w:val="00430F34"/>
    <w:rsid w:val="00431281"/>
    <w:rsid w:val="0043151A"/>
    <w:rsid w:val="0043156C"/>
    <w:rsid w:val="004318B5"/>
    <w:rsid w:val="00431A30"/>
    <w:rsid w:val="00431B68"/>
    <w:rsid w:val="00431EA7"/>
    <w:rsid w:val="0043225F"/>
    <w:rsid w:val="0043253C"/>
    <w:rsid w:val="00432AF7"/>
    <w:rsid w:val="00432CAC"/>
    <w:rsid w:val="004334FB"/>
    <w:rsid w:val="004336B2"/>
    <w:rsid w:val="00433D03"/>
    <w:rsid w:val="00433E9D"/>
    <w:rsid w:val="00433EBA"/>
    <w:rsid w:val="0043411C"/>
    <w:rsid w:val="004346DA"/>
    <w:rsid w:val="004347B0"/>
    <w:rsid w:val="004353E7"/>
    <w:rsid w:val="00435FB0"/>
    <w:rsid w:val="004363DD"/>
    <w:rsid w:val="004364F4"/>
    <w:rsid w:val="00436A7D"/>
    <w:rsid w:val="004375FD"/>
    <w:rsid w:val="0043763B"/>
    <w:rsid w:val="00437681"/>
    <w:rsid w:val="00437ADC"/>
    <w:rsid w:val="00437B72"/>
    <w:rsid w:val="004400E4"/>
    <w:rsid w:val="004404D2"/>
    <w:rsid w:val="00441152"/>
    <w:rsid w:val="0044172D"/>
    <w:rsid w:val="00441771"/>
    <w:rsid w:val="00441BF3"/>
    <w:rsid w:val="00441CCC"/>
    <w:rsid w:val="00441E65"/>
    <w:rsid w:val="00441FCD"/>
    <w:rsid w:val="0044200C"/>
    <w:rsid w:val="00442082"/>
    <w:rsid w:val="0044289E"/>
    <w:rsid w:val="004431A9"/>
    <w:rsid w:val="004437CA"/>
    <w:rsid w:val="00443D6B"/>
    <w:rsid w:val="004442BB"/>
    <w:rsid w:val="0044454E"/>
    <w:rsid w:val="0044475A"/>
    <w:rsid w:val="00444A74"/>
    <w:rsid w:val="00444DA9"/>
    <w:rsid w:val="0044533F"/>
    <w:rsid w:val="004457ED"/>
    <w:rsid w:val="00445A9E"/>
    <w:rsid w:val="00446049"/>
    <w:rsid w:val="00446067"/>
    <w:rsid w:val="004465B8"/>
    <w:rsid w:val="004467A2"/>
    <w:rsid w:val="00446BE6"/>
    <w:rsid w:val="00446E89"/>
    <w:rsid w:val="0044728B"/>
    <w:rsid w:val="00450487"/>
    <w:rsid w:val="004506E4"/>
    <w:rsid w:val="00450906"/>
    <w:rsid w:val="00450D09"/>
    <w:rsid w:val="00451163"/>
    <w:rsid w:val="00451350"/>
    <w:rsid w:val="0045160A"/>
    <w:rsid w:val="00452038"/>
    <w:rsid w:val="00452200"/>
    <w:rsid w:val="00452262"/>
    <w:rsid w:val="00452C6D"/>
    <w:rsid w:val="00453130"/>
    <w:rsid w:val="00453A17"/>
    <w:rsid w:val="00453D9D"/>
    <w:rsid w:val="00454B64"/>
    <w:rsid w:val="00455531"/>
    <w:rsid w:val="00455798"/>
    <w:rsid w:val="00455AF1"/>
    <w:rsid w:val="00455B8E"/>
    <w:rsid w:val="00455EAD"/>
    <w:rsid w:val="0045620A"/>
    <w:rsid w:val="00456700"/>
    <w:rsid w:val="00456CB4"/>
    <w:rsid w:val="00456CD8"/>
    <w:rsid w:val="00456D3B"/>
    <w:rsid w:val="004572AA"/>
    <w:rsid w:val="00457314"/>
    <w:rsid w:val="0045759E"/>
    <w:rsid w:val="00457741"/>
    <w:rsid w:val="00460777"/>
    <w:rsid w:val="00461883"/>
    <w:rsid w:val="00461DBA"/>
    <w:rsid w:val="00462844"/>
    <w:rsid w:val="00462FC2"/>
    <w:rsid w:val="00463B7C"/>
    <w:rsid w:val="00464141"/>
    <w:rsid w:val="004642F9"/>
    <w:rsid w:val="00465666"/>
    <w:rsid w:val="00465A8F"/>
    <w:rsid w:val="00465D16"/>
    <w:rsid w:val="00465D4B"/>
    <w:rsid w:val="004667ED"/>
    <w:rsid w:val="00470024"/>
    <w:rsid w:val="00470A4C"/>
    <w:rsid w:val="00470A9E"/>
    <w:rsid w:val="00471233"/>
    <w:rsid w:val="004717ED"/>
    <w:rsid w:val="004722D1"/>
    <w:rsid w:val="00473482"/>
    <w:rsid w:val="00473F75"/>
    <w:rsid w:val="00474EF4"/>
    <w:rsid w:val="00475647"/>
    <w:rsid w:val="004767D4"/>
    <w:rsid w:val="00476BDC"/>
    <w:rsid w:val="0047702D"/>
    <w:rsid w:val="0047756E"/>
    <w:rsid w:val="00477595"/>
    <w:rsid w:val="0047797C"/>
    <w:rsid w:val="004779ED"/>
    <w:rsid w:val="00477E8F"/>
    <w:rsid w:val="00477F20"/>
    <w:rsid w:val="00480697"/>
    <w:rsid w:val="004808AD"/>
    <w:rsid w:val="004818E2"/>
    <w:rsid w:val="00482C54"/>
    <w:rsid w:val="00482E43"/>
    <w:rsid w:val="0048347E"/>
    <w:rsid w:val="00483FB3"/>
    <w:rsid w:val="00484358"/>
    <w:rsid w:val="00484947"/>
    <w:rsid w:val="004855F0"/>
    <w:rsid w:val="00486C0D"/>
    <w:rsid w:val="00486CAD"/>
    <w:rsid w:val="0048745B"/>
    <w:rsid w:val="004901AD"/>
    <w:rsid w:val="00490902"/>
    <w:rsid w:val="00490D90"/>
    <w:rsid w:val="00490F53"/>
    <w:rsid w:val="0049162F"/>
    <w:rsid w:val="00492098"/>
    <w:rsid w:val="00492304"/>
    <w:rsid w:val="004927F7"/>
    <w:rsid w:val="00493152"/>
    <w:rsid w:val="004932E9"/>
    <w:rsid w:val="0049343A"/>
    <w:rsid w:val="00493545"/>
    <w:rsid w:val="0049362A"/>
    <w:rsid w:val="00493D31"/>
    <w:rsid w:val="004945C1"/>
    <w:rsid w:val="0049460E"/>
    <w:rsid w:val="00495523"/>
    <w:rsid w:val="0049562F"/>
    <w:rsid w:val="00495C6F"/>
    <w:rsid w:val="00495D8F"/>
    <w:rsid w:val="00496215"/>
    <w:rsid w:val="0049628F"/>
    <w:rsid w:val="00496F30"/>
    <w:rsid w:val="00497A3C"/>
    <w:rsid w:val="00497C21"/>
    <w:rsid w:val="004A03B2"/>
    <w:rsid w:val="004A089B"/>
    <w:rsid w:val="004A0CE2"/>
    <w:rsid w:val="004A1353"/>
    <w:rsid w:val="004A1534"/>
    <w:rsid w:val="004A182F"/>
    <w:rsid w:val="004A1D1D"/>
    <w:rsid w:val="004A2566"/>
    <w:rsid w:val="004A3404"/>
    <w:rsid w:val="004A3F47"/>
    <w:rsid w:val="004A4DA2"/>
    <w:rsid w:val="004A4FC7"/>
    <w:rsid w:val="004A5046"/>
    <w:rsid w:val="004A5812"/>
    <w:rsid w:val="004A6360"/>
    <w:rsid w:val="004A6448"/>
    <w:rsid w:val="004A6AF5"/>
    <w:rsid w:val="004A6F8E"/>
    <w:rsid w:val="004A757E"/>
    <w:rsid w:val="004A76C9"/>
    <w:rsid w:val="004A7D69"/>
    <w:rsid w:val="004B0031"/>
    <w:rsid w:val="004B063E"/>
    <w:rsid w:val="004B086F"/>
    <w:rsid w:val="004B08F6"/>
    <w:rsid w:val="004B0E8C"/>
    <w:rsid w:val="004B0F6C"/>
    <w:rsid w:val="004B1640"/>
    <w:rsid w:val="004B17DE"/>
    <w:rsid w:val="004B1896"/>
    <w:rsid w:val="004B28FF"/>
    <w:rsid w:val="004B29F6"/>
    <w:rsid w:val="004B387F"/>
    <w:rsid w:val="004B3DD8"/>
    <w:rsid w:val="004B4084"/>
    <w:rsid w:val="004B419D"/>
    <w:rsid w:val="004B426A"/>
    <w:rsid w:val="004B565F"/>
    <w:rsid w:val="004B5B4E"/>
    <w:rsid w:val="004B6D05"/>
    <w:rsid w:val="004B7930"/>
    <w:rsid w:val="004B7E94"/>
    <w:rsid w:val="004C13C2"/>
    <w:rsid w:val="004C1436"/>
    <w:rsid w:val="004C15AB"/>
    <w:rsid w:val="004C17D6"/>
    <w:rsid w:val="004C1E61"/>
    <w:rsid w:val="004C214F"/>
    <w:rsid w:val="004C2463"/>
    <w:rsid w:val="004C321F"/>
    <w:rsid w:val="004C32E1"/>
    <w:rsid w:val="004C4410"/>
    <w:rsid w:val="004C44C1"/>
    <w:rsid w:val="004C4F90"/>
    <w:rsid w:val="004C56E5"/>
    <w:rsid w:val="004C5A44"/>
    <w:rsid w:val="004C5B20"/>
    <w:rsid w:val="004C63B7"/>
    <w:rsid w:val="004C6B96"/>
    <w:rsid w:val="004C7885"/>
    <w:rsid w:val="004C79DB"/>
    <w:rsid w:val="004C7B44"/>
    <w:rsid w:val="004D00F1"/>
    <w:rsid w:val="004D0547"/>
    <w:rsid w:val="004D1DFF"/>
    <w:rsid w:val="004D28C2"/>
    <w:rsid w:val="004D2B64"/>
    <w:rsid w:val="004D2C5E"/>
    <w:rsid w:val="004D2D39"/>
    <w:rsid w:val="004D2D43"/>
    <w:rsid w:val="004D2FC5"/>
    <w:rsid w:val="004D3173"/>
    <w:rsid w:val="004D323E"/>
    <w:rsid w:val="004D32E1"/>
    <w:rsid w:val="004D3801"/>
    <w:rsid w:val="004D38C7"/>
    <w:rsid w:val="004D3D7A"/>
    <w:rsid w:val="004D4069"/>
    <w:rsid w:val="004D41D4"/>
    <w:rsid w:val="004D5B01"/>
    <w:rsid w:val="004D61D4"/>
    <w:rsid w:val="004D6558"/>
    <w:rsid w:val="004D697E"/>
    <w:rsid w:val="004D71DA"/>
    <w:rsid w:val="004D72CC"/>
    <w:rsid w:val="004D79FC"/>
    <w:rsid w:val="004D7E58"/>
    <w:rsid w:val="004E1728"/>
    <w:rsid w:val="004E17C0"/>
    <w:rsid w:val="004E1902"/>
    <w:rsid w:val="004E26EF"/>
    <w:rsid w:val="004E26FA"/>
    <w:rsid w:val="004E2780"/>
    <w:rsid w:val="004E2BF5"/>
    <w:rsid w:val="004E31F4"/>
    <w:rsid w:val="004E3717"/>
    <w:rsid w:val="004E3F5C"/>
    <w:rsid w:val="004E409D"/>
    <w:rsid w:val="004E4164"/>
    <w:rsid w:val="004E421E"/>
    <w:rsid w:val="004E4C3A"/>
    <w:rsid w:val="004E513A"/>
    <w:rsid w:val="004E5386"/>
    <w:rsid w:val="004E547A"/>
    <w:rsid w:val="004E5A76"/>
    <w:rsid w:val="004E5C2C"/>
    <w:rsid w:val="004E6058"/>
    <w:rsid w:val="004E61F6"/>
    <w:rsid w:val="004E6930"/>
    <w:rsid w:val="004E6B29"/>
    <w:rsid w:val="004E6FDB"/>
    <w:rsid w:val="004E7CCB"/>
    <w:rsid w:val="004F0522"/>
    <w:rsid w:val="004F0655"/>
    <w:rsid w:val="004F0A84"/>
    <w:rsid w:val="004F0E9F"/>
    <w:rsid w:val="004F141B"/>
    <w:rsid w:val="004F1431"/>
    <w:rsid w:val="004F15B7"/>
    <w:rsid w:val="004F1667"/>
    <w:rsid w:val="004F182A"/>
    <w:rsid w:val="004F1D19"/>
    <w:rsid w:val="004F2214"/>
    <w:rsid w:val="004F263C"/>
    <w:rsid w:val="004F2828"/>
    <w:rsid w:val="004F2E65"/>
    <w:rsid w:val="004F300B"/>
    <w:rsid w:val="004F301A"/>
    <w:rsid w:val="004F3CF8"/>
    <w:rsid w:val="004F40BB"/>
    <w:rsid w:val="004F4C9D"/>
    <w:rsid w:val="004F4EE8"/>
    <w:rsid w:val="004F4F21"/>
    <w:rsid w:val="004F515E"/>
    <w:rsid w:val="004F51B8"/>
    <w:rsid w:val="004F51D0"/>
    <w:rsid w:val="004F5480"/>
    <w:rsid w:val="004F59BA"/>
    <w:rsid w:val="004F69F4"/>
    <w:rsid w:val="004F74AE"/>
    <w:rsid w:val="004F78B1"/>
    <w:rsid w:val="004F7ADA"/>
    <w:rsid w:val="00500C99"/>
    <w:rsid w:val="00500D17"/>
    <w:rsid w:val="0050176E"/>
    <w:rsid w:val="00501802"/>
    <w:rsid w:val="00501803"/>
    <w:rsid w:val="00501838"/>
    <w:rsid w:val="00501C8F"/>
    <w:rsid w:val="00502E37"/>
    <w:rsid w:val="00503177"/>
    <w:rsid w:val="005031D4"/>
    <w:rsid w:val="0050376C"/>
    <w:rsid w:val="00504340"/>
    <w:rsid w:val="00504DF5"/>
    <w:rsid w:val="0050541A"/>
    <w:rsid w:val="00505450"/>
    <w:rsid w:val="00505684"/>
    <w:rsid w:val="0050583C"/>
    <w:rsid w:val="0050662A"/>
    <w:rsid w:val="005068B1"/>
    <w:rsid w:val="00506D29"/>
    <w:rsid w:val="00506F1A"/>
    <w:rsid w:val="00506F60"/>
    <w:rsid w:val="00506FA8"/>
    <w:rsid w:val="00507448"/>
    <w:rsid w:val="005074D5"/>
    <w:rsid w:val="005078E8"/>
    <w:rsid w:val="0051046E"/>
    <w:rsid w:val="00510743"/>
    <w:rsid w:val="00510B9D"/>
    <w:rsid w:val="00511581"/>
    <w:rsid w:val="005124F6"/>
    <w:rsid w:val="00512545"/>
    <w:rsid w:val="005127A0"/>
    <w:rsid w:val="00512926"/>
    <w:rsid w:val="00512B23"/>
    <w:rsid w:val="00513073"/>
    <w:rsid w:val="0051309F"/>
    <w:rsid w:val="00513795"/>
    <w:rsid w:val="00513D28"/>
    <w:rsid w:val="00513E3B"/>
    <w:rsid w:val="005141D9"/>
    <w:rsid w:val="00514B62"/>
    <w:rsid w:val="0051633E"/>
    <w:rsid w:val="00516980"/>
    <w:rsid w:val="00516BE4"/>
    <w:rsid w:val="00516CBE"/>
    <w:rsid w:val="0051706E"/>
    <w:rsid w:val="00517796"/>
    <w:rsid w:val="00517832"/>
    <w:rsid w:val="005203E4"/>
    <w:rsid w:val="00520662"/>
    <w:rsid w:val="00521159"/>
    <w:rsid w:val="00521668"/>
    <w:rsid w:val="00521725"/>
    <w:rsid w:val="00522798"/>
    <w:rsid w:val="005227C9"/>
    <w:rsid w:val="00523ACF"/>
    <w:rsid w:val="00523E24"/>
    <w:rsid w:val="005247DC"/>
    <w:rsid w:val="00524850"/>
    <w:rsid w:val="005248D8"/>
    <w:rsid w:val="0052530C"/>
    <w:rsid w:val="0052556D"/>
    <w:rsid w:val="005261C5"/>
    <w:rsid w:val="0052653C"/>
    <w:rsid w:val="00526651"/>
    <w:rsid w:val="00527427"/>
    <w:rsid w:val="00527543"/>
    <w:rsid w:val="005275C7"/>
    <w:rsid w:val="0052780F"/>
    <w:rsid w:val="00527A9C"/>
    <w:rsid w:val="00527F61"/>
    <w:rsid w:val="005302FD"/>
    <w:rsid w:val="00530396"/>
    <w:rsid w:val="00530959"/>
    <w:rsid w:val="00530D6B"/>
    <w:rsid w:val="00530EA4"/>
    <w:rsid w:val="00530FC4"/>
    <w:rsid w:val="005311FF"/>
    <w:rsid w:val="0053169C"/>
    <w:rsid w:val="00531A6B"/>
    <w:rsid w:val="00531C0C"/>
    <w:rsid w:val="00531C7F"/>
    <w:rsid w:val="00532335"/>
    <w:rsid w:val="00532E4A"/>
    <w:rsid w:val="00533366"/>
    <w:rsid w:val="005337C1"/>
    <w:rsid w:val="00533E5A"/>
    <w:rsid w:val="00534A29"/>
    <w:rsid w:val="00534CAB"/>
    <w:rsid w:val="005350E2"/>
    <w:rsid w:val="00535475"/>
    <w:rsid w:val="0053568B"/>
    <w:rsid w:val="005359D8"/>
    <w:rsid w:val="00535B31"/>
    <w:rsid w:val="00535DC7"/>
    <w:rsid w:val="00536150"/>
    <w:rsid w:val="0053752F"/>
    <w:rsid w:val="00537610"/>
    <w:rsid w:val="005378DD"/>
    <w:rsid w:val="00537BA7"/>
    <w:rsid w:val="00540BC8"/>
    <w:rsid w:val="00540F50"/>
    <w:rsid w:val="0054155B"/>
    <w:rsid w:val="005415FB"/>
    <w:rsid w:val="00541706"/>
    <w:rsid w:val="0054181E"/>
    <w:rsid w:val="0054238D"/>
    <w:rsid w:val="0054298E"/>
    <w:rsid w:val="0054350D"/>
    <w:rsid w:val="00543F84"/>
    <w:rsid w:val="0054409E"/>
    <w:rsid w:val="00544179"/>
    <w:rsid w:val="00544248"/>
    <w:rsid w:val="00544397"/>
    <w:rsid w:val="00545412"/>
    <w:rsid w:val="005455DF"/>
    <w:rsid w:val="00545870"/>
    <w:rsid w:val="00545FC4"/>
    <w:rsid w:val="00546C5C"/>
    <w:rsid w:val="00547351"/>
    <w:rsid w:val="005476C7"/>
    <w:rsid w:val="00547A70"/>
    <w:rsid w:val="00547D6C"/>
    <w:rsid w:val="00550D85"/>
    <w:rsid w:val="005510D1"/>
    <w:rsid w:val="005518CB"/>
    <w:rsid w:val="00551A9F"/>
    <w:rsid w:val="005520D2"/>
    <w:rsid w:val="00552396"/>
    <w:rsid w:val="00552537"/>
    <w:rsid w:val="00552980"/>
    <w:rsid w:val="00552C0F"/>
    <w:rsid w:val="00552E63"/>
    <w:rsid w:val="005540AC"/>
    <w:rsid w:val="00554895"/>
    <w:rsid w:val="00554CAB"/>
    <w:rsid w:val="00554DAA"/>
    <w:rsid w:val="00554E65"/>
    <w:rsid w:val="0055558C"/>
    <w:rsid w:val="005555F3"/>
    <w:rsid w:val="00555A24"/>
    <w:rsid w:val="00555F71"/>
    <w:rsid w:val="005560EC"/>
    <w:rsid w:val="005560FE"/>
    <w:rsid w:val="0055723E"/>
    <w:rsid w:val="005576B9"/>
    <w:rsid w:val="005576F1"/>
    <w:rsid w:val="0056003D"/>
    <w:rsid w:val="0056024B"/>
    <w:rsid w:val="0056066D"/>
    <w:rsid w:val="005606CF"/>
    <w:rsid w:val="0056082F"/>
    <w:rsid w:val="00560BC2"/>
    <w:rsid w:val="0056136D"/>
    <w:rsid w:val="00561401"/>
    <w:rsid w:val="00561F02"/>
    <w:rsid w:val="00562105"/>
    <w:rsid w:val="0056240A"/>
    <w:rsid w:val="00562F9D"/>
    <w:rsid w:val="005634A6"/>
    <w:rsid w:val="0056442A"/>
    <w:rsid w:val="005645A6"/>
    <w:rsid w:val="00565313"/>
    <w:rsid w:val="0056564F"/>
    <w:rsid w:val="00565758"/>
    <w:rsid w:val="00565A52"/>
    <w:rsid w:val="00565B7C"/>
    <w:rsid w:val="00566113"/>
    <w:rsid w:val="005662BC"/>
    <w:rsid w:val="00566DF5"/>
    <w:rsid w:val="00566FB4"/>
    <w:rsid w:val="00567544"/>
    <w:rsid w:val="0057030F"/>
    <w:rsid w:val="0057037A"/>
    <w:rsid w:val="00570739"/>
    <w:rsid w:val="00570931"/>
    <w:rsid w:val="00570D97"/>
    <w:rsid w:val="00571B33"/>
    <w:rsid w:val="00571D1D"/>
    <w:rsid w:val="005722BB"/>
    <w:rsid w:val="005728DC"/>
    <w:rsid w:val="00572CEE"/>
    <w:rsid w:val="0057342D"/>
    <w:rsid w:val="005736D3"/>
    <w:rsid w:val="00573A1A"/>
    <w:rsid w:val="00573A4A"/>
    <w:rsid w:val="00573B21"/>
    <w:rsid w:val="00573E6C"/>
    <w:rsid w:val="005743D9"/>
    <w:rsid w:val="00575211"/>
    <w:rsid w:val="0057554E"/>
    <w:rsid w:val="0057560E"/>
    <w:rsid w:val="00576977"/>
    <w:rsid w:val="00576A5B"/>
    <w:rsid w:val="00576D35"/>
    <w:rsid w:val="00577768"/>
    <w:rsid w:val="005801BD"/>
    <w:rsid w:val="0058093E"/>
    <w:rsid w:val="00580DF3"/>
    <w:rsid w:val="00580F2D"/>
    <w:rsid w:val="00581346"/>
    <w:rsid w:val="00581E23"/>
    <w:rsid w:val="00581E69"/>
    <w:rsid w:val="0058294A"/>
    <w:rsid w:val="0058389A"/>
    <w:rsid w:val="00584C0C"/>
    <w:rsid w:val="00584DC5"/>
    <w:rsid w:val="00584F6D"/>
    <w:rsid w:val="005855FB"/>
    <w:rsid w:val="0058580D"/>
    <w:rsid w:val="00585C3A"/>
    <w:rsid w:val="00585D62"/>
    <w:rsid w:val="00586738"/>
    <w:rsid w:val="005867AD"/>
    <w:rsid w:val="00586C5E"/>
    <w:rsid w:val="00586C95"/>
    <w:rsid w:val="00586F4A"/>
    <w:rsid w:val="005872B0"/>
    <w:rsid w:val="00587F40"/>
    <w:rsid w:val="0059033B"/>
    <w:rsid w:val="00590598"/>
    <w:rsid w:val="005906BF"/>
    <w:rsid w:val="00590893"/>
    <w:rsid w:val="0059095B"/>
    <w:rsid w:val="00590E14"/>
    <w:rsid w:val="005919AA"/>
    <w:rsid w:val="00591A7E"/>
    <w:rsid w:val="00591EBE"/>
    <w:rsid w:val="0059229C"/>
    <w:rsid w:val="00592FD0"/>
    <w:rsid w:val="00593DB0"/>
    <w:rsid w:val="005940D1"/>
    <w:rsid w:val="0059465A"/>
    <w:rsid w:val="00594D05"/>
    <w:rsid w:val="00595309"/>
    <w:rsid w:val="0059586C"/>
    <w:rsid w:val="005958FC"/>
    <w:rsid w:val="00595A31"/>
    <w:rsid w:val="00595C51"/>
    <w:rsid w:val="00595FD7"/>
    <w:rsid w:val="005961E3"/>
    <w:rsid w:val="00596250"/>
    <w:rsid w:val="0059646F"/>
    <w:rsid w:val="0059731C"/>
    <w:rsid w:val="005976CF"/>
    <w:rsid w:val="005A09C0"/>
    <w:rsid w:val="005A0D22"/>
    <w:rsid w:val="005A145A"/>
    <w:rsid w:val="005A1875"/>
    <w:rsid w:val="005A3148"/>
    <w:rsid w:val="005A33BC"/>
    <w:rsid w:val="005A3BC8"/>
    <w:rsid w:val="005A4571"/>
    <w:rsid w:val="005A457C"/>
    <w:rsid w:val="005A4708"/>
    <w:rsid w:val="005A4BB3"/>
    <w:rsid w:val="005A4DFC"/>
    <w:rsid w:val="005A525E"/>
    <w:rsid w:val="005A5A07"/>
    <w:rsid w:val="005A5CF3"/>
    <w:rsid w:val="005A5E0A"/>
    <w:rsid w:val="005A5FF4"/>
    <w:rsid w:val="005A723D"/>
    <w:rsid w:val="005A77BF"/>
    <w:rsid w:val="005A7E36"/>
    <w:rsid w:val="005B15C9"/>
    <w:rsid w:val="005B1CA4"/>
    <w:rsid w:val="005B2117"/>
    <w:rsid w:val="005B2464"/>
    <w:rsid w:val="005B2836"/>
    <w:rsid w:val="005B32BD"/>
    <w:rsid w:val="005B37DF"/>
    <w:rsid w:val="005B3CF2"/>
    <w:rsid w:val="005B42E6"/>
    <w:rsid w:val="005B48AA"/>
    <w:rsid w:val="005B4F88"/>
    <w:rsid w:val="005B5C2D"/>
    <w:rsid w:val="005B6296"/>
    <w:rsid w:val="005B629E"/>
    <w:rsid w:val="005B6B8D"/>
    <w:rsid w:val="005B7A53"/>
    <w:rsid w:val="005C00E3"/>
    <w:rsid w:val="005C129D"/>
    <w:rsid w:val="005C18FF"/>
    <w:rsid w:val="005C2116"/>
    <w:rsid w:val="005C2C0B"/>
    <w:rsid w:val="005C2D23"/>
    <w:rsid w:val="005C2D5A"/>
    <w:rsid w:val="005C364E"/>
    <w:rsid w:val="005C38A3"/>
    <w:rsid w:val="005C4762"/>
    <w:rsid w:val="005C60B7"/>
    <w:rsid w:val="005C62F0"/>
    <w:rsid w:val="005C6414"/>
    <w:rsid w:val="005C6B68"/>
    <w:rsid w:val="005C708A"/>
    <w:rsid w:val="005C731C"/>
    <w:rsid w:val="005C743C"/>
    <w:rsid w:val="005C7831"/>
    <w:rsid w:val="005D0342"/>
    <w:rsid w:val="005D0E9A"/>
    <w:rsid w:val="005D1599"/>
    <w:rsid w:val="005D159F"/>
    <w:rsid w:val="005D1DC3"/>
    <w:rsid w:val="005D250B"/>
    <w:rsid w:val="005D2678"/>
    <w:rsid w:val="005D26DA"/>
    <w:rsid w:val="005D3136"/>
    <w:rsid w:val="005D393F"/>
    <w:rsid w:val="005D4287"/>
    <w:rsid w:val="005D4379"/>
    <w:rsid w:val="005D4B2D"/>
    <w:rsid w:val="005D4CD7"/>
    <w:rsid w:val="005D55BE"/>
    <w:rsid w:val="005D5C17"/>
    <w:rsid w:val="005D5D26"/>
    <w:rsid w:val="005D5F27"/>
    <w:rsid w:val="005D6A69"/>
    <w:rsid w:val="005D6AEE"/>
    <w:rsid w:val="005D7BBD"/>
    <w:rsid w:val="005D7BF7"/>
    <w:rsid w:val="005D7CE0"/>
    <w:rsid w:val="005E0A57"/>
    <w:rsid w:val="005E118A"/>
    <w:rsid w:val="005E17BA"/>
    <w:rsid w:val="005E2505"/>
    <w:rsid w:val="005E3032"/>
    <w:rsid w:val="005E3479"/>
    <w:rsid w:val="005E3B78"/>
    <w:rsid w:val="005E5625"/>
    <w:rsid w:val="005E56A2"/>
    <w:rsid w:val="005E57DA"/>
    <w:rsid w:val="005E5C71"/>
    <w:rsid w:val="005E5E6C"/>
    <w:rsid w:val="005E6EA7"/>
    <w:rsid w:val="005E771C"/>
    <w:rsid w:val="005E7E1E"/>
    <w:rsid w:val="005F0017"/>
    <w:rsid w:val="005F01C5"/>
    <w:rsid w:val="005F1128"/>
    <w:rsid w:val="005F1643"/>
    <w:rsid w:val="005F2497"/>
    <w:rsid w:val="005F2697"/>
    <w:rsid w:val="005F26D8"/>
    <w:rsid w:val="005F2875"/>
    <w:rsid w:val="005F31D9"/>
    <w:rsid w:val="005F3792"/>
    <w:rsid w:val="005F3909"/>
    <w:rsid w:val="005F426D"/>
    <w:rsid w:val="005F44EC"/>
    <w:rsid w:val="005F467D"/>
    <w:rsid w:val="005F468D"/>
    <w:rsid w:val="005F47F4"/>
    <w:rsid w:val="005F48AA"/>
    <w:rsid w:val="005F4B2D"/>
    <w:rsid w:val="005F4D56"/>
    <w:rsid w:val="005F5542"/>
    <w:rsid w:val="005F55F4"/>
    <w:rsid w:val="005F5842"/>
    <w:rsid w:val="005F6440"/>
    <w:rsid w:val="005F65CD"/>
    <w:rsid w:val="005F6EE6"/>
    <w:rsid w:val="005F725E"/>
    <w:rsid w:val="005F78BF"/>
    <w:rsid w:val="005F7BFB"/>
    <w:rsid w:val="00601322"/>
    <w:rsid w:val="006013BB"/>
    <w:rsid w:val="006029DF"/>
    <w:rsid w:val="006046B2"/>
    <w:rsid w:val="00604B83"/>
    <w:rsid w:val="00604C65"/>
    <w:rsid w:val="00604EC7"/>
    <w:rsid w:val="00604F04"/>
    <w:rsid w:val="0060536F"/>
    <w:rsid w:val="00605AA8"/>
    <w:rsid w:val="00605C4D"/>
    <w:rsid w:val="00605EFB"/>
    <w:rsid w:val="00606CF1"/>
    <w:rsid w:val="006072F8"/>
    <w:rsid w:val="00607E15"/>
    <w:rsid w:val="00610837"/>
    <w:rsid w:val="00610BE0"/>
    <w:rsid w:val="00610CE7"/>
    <w:rsid w:val="00610DE0"/>
    <w:rsid w:val="00611346"/>
    <w:rsid w:val="006113ED"/>
    <w:rsid w:val="00611F93"/>
    <w:rsid w:val="006122FF"/>
    <w:rsid w:val="00612A73"/>
    <w:rsid w:val="00612A99"/>
    <w:rsid w:val="00613812"/>
    <w:rsid w:val="00613BF5"/>
    <w:rsid w:val="00613DEF"/>
    <w:rsid w:val="00614849"/>
    <w:rsid w:val="00614AC5"/>
    <w:rsid w:val="00614CD6"/>
    <w:rsid w:val="00615CF3"/>
    <w:rsid w:val="00615F77"/>
    <w:rsid w:val="006174AD"/>
    <w:rsid w:val="0062021D"/>
    <w:rsid w:val="00620AD0"/>
    <w:rsid w:val="00621087"/>
    <w:rsid w:val="00621BA9"/>
    <w:rsid w:val="00621E14"/>
    <w:rsid w:val="00622D76"/>
    <w:rsid w:val="00622DD3"/>
    <w:rsid w:val="00623789"/>
    <w:rsid w:val="00623B80"/>
    <w:rsid w:val="00624498"/>
    <w:rsid w:val="00624A12"/>
    <w:rsid w:val="006252D7"/>
    <w:rsid w:val="006255E4"/>
    <w:rsid w:val="00625C6E"/>
    <w:rsid w:val="0062687A"/>
    <w:rsid w:val="006269AF"/>
    <w:rsid w:val="00626A5B"/>
    <w:rsid w:val="00626DA6"/>
    <w:rsid w:val="00627698"/>
    <w:rsid w:val="00627B76"/>
    <w:rsid w:val="00627D52"/>
    <w:rsid w:val="00627E07"/>
    <w:rsid w:val="00630141"/>
    <w:rsid w:val="00630245"/>
    <w:rsid w:val="0063051B"/>
    <w:rsid w:val="006308B8"/>
    <w:rsid w:val="00630D4C"/>
    <w:rsid w:val="00630E21"/>
    <w:rsid w:val="006316FF"/>
    <w:rsid w:val="006318B4"/>
    <w:rsid w:val="00631CCD"/>
    <w:rsid w:val="00631E72"/>
    <w:rsid w:val="00632617"/>
    <w:rsid w:val="00632949"/>
    <w:rsid w:val="00635165"/>
    <w:rsid w:val="00635C5B"/>
    <w:rsid w:val="00635DC3"/>
    <w:rsid w:val="00636054"/>
    <w:rsid w:val="006362C1"/>
    <w:rsid w:val="00636F96"/>
    <w:rsid w:val="00636FB2"/>
    <w:rsid w:val="00640553"/>
    <w:rsid w:val="00640725"/>
    <w:rsid w:val="00640BAF"/>
    <w:rsid w:val="00641C46"/>
    <w:rsid w:val="00641F94"/>
    <w:rsid w:val="0064235A"/>
    <w:rsid w:val="0064378B"/>
    <w:rsid w:val="0064495D"/>
    <w:rsid w:val="00644C40"/>
    <w:rsid w:val="00645656"/>
    <w:rsid w:val="00645787"/>
    <w:rsid w:val="00646119"/>
    <w:rsid w:val="00646B5D"/>
    <w:rsid w:val="00646FA2"/>
    <w:rsid w:val="00646FF5"/>
    <w:rsid w:val="006506CE"/>
    <w:rsid w:val="0065079A"/>
    <w:rsid w:val="00650AB0"/>
    <w:rsid w:val="006512BF"/>
    <w:rsid w:val="00651C8F"/>
    <w:rsid w:val="00651EC4"/>
    <w:rsid w:val="00652070"/>
    <w:rsid w:val="0065244D"/>
    <w:rsid w:val="00652C12"/>
    <w:rsid w:val="00652C55"/>
    <w:rsid w:val="0065350F"/>
    <w:rsid w:val="006536B0"/>
    <w:rsid w:val="00653C26"/>
    <w:rsid w:val="006540EF"/>
    <w:rsid w:val="006541DE"/>
    <w:rsid w:val="00655698"/>
    <w:rsid w:val="006561EA"/>
    <w:rsid w:val="006563EF"/>
    <w:rsid w:val="006576E1"/>
    <w:rsid w:val="0065793B"/>
    <w:rsid w:val="00660581"/>
    <w:rsid w:val="006608D2"/>
    <w:rsid w:val="00660BF3"/>
    <w:rsid w:val="00660BF7"/>
    <w:rsid w:val="006615E0"/>
    <w:rsid w:val="006619F2"/>
    <w:rsid w:val="00661A06"/>
    <w:rsid w:val="00661E35"/>
    <w:rsid w:val="0066246D"/>
    <w:rsid w:val="00662FC1"/>
    <w:rsid w:val="00663246"/>
    <w:rsid w:val="0066335E"/>
    <w:rsid w:val="006634DE"/>
    <w:rsid w:val="0066355F"/>
    <w:rsid w:val="00663701"/>
    <w:rsid w:val="0066396B"/>
    <w:rsid w:val="006643D6"/>
    <w:rsid w:val="006645B0"/>
    <w:rsid w:val="00664873"/>
    <w:rsid w:val="006656C2"/>
    <w:rsid w:val="006658BA"/>
    <w:rsid w:val="00665AA8"/>
    <w:rsid w:val="00666744"/>
    <w:rsid w:val="00666D59"/>
    <w:rsid w:val="00666EDE"/>
    <w:rsid w:val="00667200"/>
    <w:rsid w:val="006701A7"/>
    <w:rsid w:val="00670648"/>
    <w:rsid w:val="006708F1"/>
    <w:rsid w:val="00670D0A"/>
    <w:rsid w:val="006710E1"/>
    <w:rsid w:val="006716B8"/>
    <w:rsid w:val="00672772"/>
    <w:rsid w:val="0067366D"/>
    <w:rsid w:val="006736FA"/>
    <w:rsid w:val="00673789"/>
    <w:rsid w:val="006743EC"/>
    <w:rsid w:val="00674846"/>
    <w:rsid w:val="00674A09"/>
    <w:rsid w:val="00675207"/>
    <w:rsid w:val="0067537C"/>
    <w:rsid w:val="006757DC"/>
    <w:rsid w:val="00675A04"/>
    <w:rsid w:val="00675C5D"/>
    <w:rsid w:val="0067656B"/>
    <w:rsid w:val="00676692"/>
    <w:rsid w:val="00676740"/>
    <w:rsid w:val="00676B71"/>
    <w:rsid w:val="00676C79"/>
    <w:rsid w:val="006771A5"/>
    <w:rsid w:val="006771F8"/>
    <w:rsid w:val="006777B4"/>
    <w:rsid w:val="006779A1"/>
    <w:rsid w:val="00677C4A"/>
    <w:rsid w:val="00677D6A"/>
    <w:rsid w:val="0068078E"/>
    <w:rsid w:val="00680FB0"/>
    <w:rsid w:val="006812BB"/>
    <w:rsid w:val="00682060"/>
    <w:rsid w:val="006825D0"/>
    <w:rsid w:val="006850F2"/>
    <w:rsid w:val="00685731"/>
    <w:rsid w:val="00685F3D"/>
    <w:rsid w:val="0068641D"/>
    <w:rsid w:val="00686AE7"/>
    <w:rsid w:val="00686BA8"/>
    <w:rsid w:val="00687436"/>
    <w:rsid w:val="00690312"/>
    <w:rsid w:val="006910DC"/>
    <w:rsid w:val="0069113D"/>
    <w:rsid w:val="00691391"/>
    <w:rsid w:val="00691786"/>
    <w:rsid w:val="006923EC"/>
    <w:rsid w:val="00692A6C"/>
    <w:rsid w:val="00693063"/>
    <w:rsid w:val="00694196"/>
    <w:rsid w:val="00694769"/>
    <w:rsid w:val="006947A5"/>
    <w:rsid w:val="006947B6"/>
    <w:rsid w:val="0069529F"/>
    <w:rsid w:val="0069555A"/>
    <w:rsid w:val="006959AB"/>
    <w:rsid w:val="00695ABB"/>
    <w:rsid w:val="00695FED"/>
    <w:rsid w:val="00696B69"/>
    <w:rsid w:val="00697C51"/>
    <w:rsid w:val="006A008C"/>
    <w:rsid w:val="006A07F4"/>
    <w:rsid w:val="006A11F0"/>
    <w:rsid w:val="006A12F3"/>
    <w:rsid w:val="006A14E5"/>
    <w:rsid w:val="006A1BD5"/>
    <w:rsid w:val="006A1CCB"/>
    <w:rsid w:val="006A1CDA"/>
    <w:rsid w:val="006A2219"/>
    <w:rsid w:val="006A2BC6"/>
    <w:rsid w:val="006A318B"/>
    <w:rsid w:val="006A3350"/>
    <w:rsid w:val="006A3463"/>
    <w:rsid w:val="006A35ED"/>
    <w:rsid w:val="006A3A2B"/>
    <w:rsid w:val="006A3BFE"/>
    <w:rsid w:val="006A3D67"/>
    <w:rsid w:val="006A4045"/>
    <w:rsid w:val="006A49EF"/>
    <w:rsid w:val="006A4B64"/>
    <w:rsid w:val="006A5212"/>
    <w:rsid w:val="006A53FD"/>
    <w:rsid w:val="006A5652"/>
    <w:rsid w:val="006A57E5"/>
    <w:rsid w:val="006A5B49"/>
    <w:rsid w:val="006A5BED"/>
    <w:rsid w:val="006A61C9"/>
    <w:rsid w:val="006A6D6A"/>
    <w:rsid w:val="006A784C"/>
    <w:rsid w:val="006A7E56"/>
    <w:rsid w:val="006B044B"/>
    <w:rsid w:val="006B05AF"/>
    <w:rsid w:val="006B1621"/>
    <w:rsid w:val="006B20D3"/>
    <w:rsid w:val="006B2341"/>
    <w:rsid w:val="006B2584"/>
    <w:rsid w:val="006B26DC"/>
    <w:rsid w:val="006B2CF3"/>
    <w:rsid w:val="006B31B5"/>
    <w:rsid w:val="006B336B"/>
    <w:rsid w:val="006B380C"/>
    <w:rsid w:val="006B4FD9"/>
    <w:rsid w:val="006B5C36"/>
    <w:rsid w:val="006B6055"/>
    <w:rsid w:val="006B6612"/>
    <w:rsid w:val="006B66D6"/>
    <w:rsid w:val="006B675D"/>
    <w:rsid w:val="006B6E10"/>
    <w:rsid w:val="006B6E90"/>
    <w:rsid w:val="006B710F"/>
    <w:rsid w:val="006B72C1"/>
    <w:rsid w:val="006B72C7"/>
    <w:rsid w:val="006B7A7D"/>
    <w:rsid w:val="006B7CDF"/>
    <w:rsid w:val="006B7DC3"/>
    <w:rsid w:val="006C019C"/>
    <w:rsid w:val="006C0A7C"/>
    <w:rsid w:val="006C13CA"/>
    <w:rsid w:val="006C1604"/>
    <w:rsid w:val="006C17F8"/>
    <w:rsid w:val="006C18EF"/>
    <w:rsid w:val="006C2483"/>
    <w:rsid w:val="006C2983"/>
    <w:rsid w:val="006C2B75"/>
    <w:rsid w:val="006C3010"/>
    <w:rsid w:val="006C32A5"/>
    <w:rsid w:val="006C344C"/>
    <w:rsid w:val="006C393C"/>
    <w:rsid w:val="006C3BC3"/>
    <w:rsid w:val="006C3F1C"/>
    <w:rsid w:val="006C4F8A"/>
    <w:rsid w:val="006C51EC"/>
    <w:rsid w:val="006C5B9A"/>
    <w:rsid w:val="006C5CCF"/>
    <w:rsid w:val="006C63F9"/>
    <w:rsid w:val="006D149A"/>
    <w:rsid w:val="006D1788"/>
    <w:rsid w:val="006D18E7"/>
    <w:rsid w:val="006D22EC"/>
    <w:rsid w:val="006D27E5"/>
    <w:rsid w:val="006D35E6"/>
    <w:rsid w:val="006D3D0F"/>
    <w:rsid w:val="006D4453"/>
    <w:rsid w:val="006D4953"/>
    <w:rsid w:val="006D4EBC"/>
    <w:rsid w:val="006D56CF"/>
    <w:rsid w:val="006D6626"/>
    <w:rsid w:val="006D6D92"/>
    <w:rsid w:val="006D6FAD"/>
    <w:rsid w:val="006D6FEC"/>
    <w:rsid w:val="006D728A"/>
    <w:rsid w:val="006D732D"/>
    <w:rsid w:val="006D7FD7"/>
    <w:rsid w:val="006E0937"/>
    <w:rsid w:val="006E0ADB"/>
    <w:rsid w:val="006E10E4"/>
    <w:rsid w:val="006E1417"/>
    <w:rsid w:val="006E198F"/>
    <w:rsid w:val="006E2234"/>
    <w:rsid w:val="006E27CE"/>
    <w:rsid w:val="006E2AA6"/>
    <w:rsid w:val="006E2E87"/>
    <w:rsid w:val="006E2F15"/>
    <w:rsid w:val="006E3074"/>
    <w:rsid w:val="006E38A8"/>
    <w:rsid w:val="006E46A8"/>
    <w:rsid w:val="006E53CE"/>
    <w:rsid w:val="006E5BEB"/>
    <w:rsid w:val="006E5C71"/>
    <w:rsid w:val="006E5CF5"/>
    <w:rsid w:val="006E5F2F"/>
    <w:rsid w:val="006E5FE2"/>
    <w:rsid w:val="006E6506"/>
    <w:rsid w:val="006E6A78"/>
    <w:rsid w:val="006E6CEF"/>
    <w:rsid w:val="006E70FF"/>
    <w:rsid w:val="006E7986"/>
    <w:rsid w:val="006F0051"/>
    <w:rsid w:val="006F03CC"/>
    <w:rsid w:val="006F0F7B"/>
    <w:rsid w:val="006F2ABF"/>
    <w:rsid w:val="006F2D34"/>
    <w:rsid w:val="006F34A2"/>
    <w:rsid w:val="006F3953"/>
    <w:rsid w:val="006F3C9A"/>
    <w:rsid w:val="006F3DCD"/>
    <w:rsid w:val="006F3FE7"/>
    <w:rsid w:val="006F4329"/>
    <w:rsid w:val="006F4AE1"/>
    <w:rsid w:val="006F4CF8"/>
    <w:rsid w:val="006F4F0F"/>
    <w:rsid w:val="006F549C"/>
    <w:rsid w:val="006F6F6E"/>
    <w:rsid w:val="006F72B5"/>
    <w:rsid w:val="006F79CE"/>
    <w:rsid w:val="00700C0E"/>
    <w:rsid w:val="00700D1F"/>
    <w:rsid w:val="0070119C"/>
    <w:rsid w:val="00701FB6"/>
    <w:rsid w:val="00702769"/>
    <w:rsid w:val="00702B6F"/>
    <w:rsid w:val="0070331C"/>
    <w:rsid w:val="0070333F"/>
    <w:rsid w:val="007036A1"/>
    <w:rsid w:val="007042EA"/>
    <w:rsid w:val="0070449D"/>
    <w:rsid w:val="00704947"/>
    <w:rsid w:val="00704B60"/>
    <w:rsid w:val="00705382"/>
    <w:rsid w:val="00706400"/>
    <w:rsid w:val="00706B27"/>
    <w:rsid w:val="007079B7"/>
    <w:rsid w:val="007100D2"/>
    <w:rsid w:val="007101E9"/>
    <w:rsid w:val="0071100B"/>
    <w:rsid w:val="00711211"/>
    <w:rsid w:val="007114DC"/>
    <w:rsid w:val="00711668"/>
    <w:rsid w:val="0071247C"/>
    <w:rsid w:val="0071281C"/>
    <w:rsid w:val="00712F97"/>
    <w:rsid w:val="00713C01"/>
    <w:rsid w:val="007147D5"/>
    <w:rsid w:val="00714A27"/>
    <w:rsid w:val="00714F52"/>
    <w:rsid w:val="00715792"/>
    <w:rsid w:val="007158FE"/>
    <w:rsid w:val="00716802"/>
    <w:rsid w:val="00716EDC"/>
    <w:rsid w:val="00717307"/>
    <w:rsid w:val="00717888"/>
    <w:rsid w:val="00717A92"/>
    <w:rsid w:val="00717AF8"/>
    <w:rsid w:val="00717BDF"/>
    <w:rsid w:val="007211D1"/>
    <w:rsid w:val="00721588"/>
    <w:rsid w:val="00721850"/>
    <w:rsid w:val="00721AE5"/>
    <w:rsid w:val="00721DA6"/>
    <w:rsid w:val="00721E48"/>
    <w:rsid w:val="00722459"/>
    <w:rsid w:val="00722710"/>
    <w:rsid w:val="00723230"/>
    <w:rsid w:val="0072355C"/>
    <w:rsid w:val="007241B4"/>
    <w:rsid w:val="007243BF"/>
    <w:rsid w:val="007248CF"/>
    <w:rsid w:val="00724C71"/>
    <w:rsid w:val="007250BA"/>
    <w:rsid w:val="0072519B"/>
    <w:rsid w:val="00725319"/>
    <w:rsid w:val="007259FC"/>
    <w:rsid w:val="0072619A"/>
    <w:rsid w:val="00726720"/>
    <w:rsid w:val="00726739"/>
    <w:rsid w:val="00726B76"/>
    <w:rsid w:val="0072712C"/>
    <w:rsid w:val="0073055B"/>
    <w:rsid w:val="007306B4"/>
    <w:rsid w:val="00730719"/>
    <w:rsid w:val="00730923"/>
    <w:rsid w:val="00730BB4"/>
    <w:rsid w:val="00730CB8"/>
    <w:rsid w:val="00730D7B"/>
    <w:rsid w:val="0073138D"/>
    <w:rsid w:val="0073188C"/>
    <w:rsid w:val="00731D67"/>
    <w:rsid w:val="0073275F"/>
    <w:rsid w:val="00732EF7"/>
    <w:rsid w:val="007330BC"/>
    <w:rsid w:val="0073353F"/>
    <w:rsid w:val="007337DE"/>
    <w:rsid w:val="0073392F"/>
    <w:rsid w:val="00733E9C"/>
    <w:rsid w:val="0073475B"/>
    <w:rsid w:val="00734C69"/>
    <w:rsid w:val="0073602B"/>
    <w:rsid w:val="007379F9"/>
    <w:rsid w:val="00737B13"/>
    <w:rsid w:val="0074081B"/>
    <w:rsid w:val="00740F1A"/>
    <w:rsid w:val="007415D1"/>
    <w:rsid w:val="00741734"/>
    <w:rsid w:val="00741A3C"/>
    <w:rsid w:val="00741F08"/>
    <w:rsid w:val="007438DD"/>
    <w:rsid w:val="00743F77"/>
    <w:rsid w:val="00744760"/>
    <w:rsid w:val="00744CE1"/>
    <w:rsid w:val="00745440"/>
    <w:rsid w:val="00746049"/>
    <w:rsid w:val="007460C5"/>
    <w:rsid w:val="0074669C"/>
    <w:rsid w:val="00746944"/>
    <w:rsid w:val="00746F8B"/>
    <w:rsid w:val="00747170"/>
    <w:rsid w:val="0074729A"/>
    <w:rsid w:val="0074768A"/>
    <w:rsid w:val="00747F4A"/>
    <w:rsid w:val="00750075"/>
    <w:rsid w:val="0075007F"/>
    <w:rsid w:val="00750D8A"/>
    <w:rsid w:val="00751D38"/>
    <w:rsid w:val="00751D67"/>
    <w:rsid w:val="00751F23"/>
    <w:rsid w:val="007529FA"/>
    <w:rsid w:val="00752DA5"/>
    <w:rsid w:val="00753148"/>
    <w:rsid w:val="00753B31"/>
    <w:rsid w:val="00753C26"/>
    <w:rsid w:val="00754742"/>
    <w:rsid w:val="00754BB8"/>
    <w:rsid w:val="0075547B"/>
    <w:rsid w:val="007564FD"/>
    <w:rsid w:val="00756895"/>
    <w:rsid w:val="007569C1"/>
    <w:rsid w:val="00756FF7"/>
    <w:rsid w:val="007579CF"/>
    <w:rsid w:val="007607B8"/>
    <w:rsid w:val="00761335"/>
    <w:rsid w:val="0076246F"/>
    <w:rsid w:val="0076264F"/>
    <w:rsid w:val="00762AA5"/>
    <w:rsid w:val="007630AD"/>
    <w:rsid w:val="0076482E"/>
    <w:rsid w:val="00764ABC"/>
    <w:rsid w:val="00764D60"/>
    <w:rsid w:val="00765332"/>
    <w:rsid w:val="007653EC"/>
    <w:rsid w:val="00765634"/>
    <w:rsid w:val="0076611F"/>
    <w:rsid w:val="00766544"/>
    <w:rsid w:val="00766AB0"/>
    <w:rsid w:val="00766B6D"/>
    <w:rsid w:val="00766D46"/>
    <w:rsid w:val="00767C89"/>
    <w:rsid w:val="00767ED3"/>
    <w:rsid w:val="007700AE"/>
    <w:rsid w:val="0077133B"/>
    <w:rsid w:val="007717A3"/>
    <w:rsid w:val="007720C4"/>
    <w:rsid w:val="00772DFB"/>
    <w:rsid w:val="00773185"/>
    <w:rsid w:val="00773D1B"/>
    <w:rsid w:val="00773E01"/>
    <w:rsid w:val="00773E35"/>
    <w:rsid w:val="00774B03"/>
    <w:rsid w:val="00774DBD"/>
    <w:rsid w:val="00774F30"/>
    <w:rsid w:val="00775CAF"/>
    <w:rsid w:val="00775F6F"/>
    <w:rsid w:val="0077609A"/>
    <w:rsid w:val="00776F02"/>
    <w:rsid w:val="00777D7C"/>
    <w:rsid w:val="0078156A"/>
    <w:rsid w:val="00781EC8"/>
    <w:rsid w:val="0078235D"/>
    <w:rsid w:val="00783437"/>
    <w:rsid w:val="00783A53"/>
    <w:rsid w:val="00783B08"/>
    <w:rsid w:val="00784130"/>
    <w:rsid w:val="007846AA"/>
    <w:rsid w:val="00784BDA"/>
    <w:rsid w:val="00784D43"/>
    <w:rsid w:val="00784D70"/>
    <w:rsid w:val="00784D73"/>
    <w:rsid w:val="007850E2"/>
    <w:rsid w:val="007858F6"/>
    <w:rsid w:val="00785C42"/>
    <w:rsid w:val="00785EB5"/>
    <w:rsid w:val="00786935"/>
    <w:rsid w:val="007879BE"/>
    <w:rsid w:val="007906F2"/>
    <w:rsid w:val="007911C5"/>
    <w:rsid w:val="00791250"/>
    <w:rsid w:val="007915EF"/>
    <w:rsid w:val="00791D47"/>
    <w:rsid w:val="00791E69"/>
    <w:rsid w:val="00792535"/>
    <w:rsid w:val="00792859"/>
    <w:rsid w:val="00792981"/>
    <w:rsid w:val="00793365"/>
    <w:rsid w:val="007934FE"/>
    <w:rsid w:val="007939A5"/>
    <w:rsid w:val="00793C85"/>
    <w:rsid w:val="00794762"/>
    <w:rsid w:val="00794915"/>
    <w:rsid w:val="00794B97"/>
    <w:rsid w:val="00794C20"/>
    <w:rsid w:val="00795297"/>
    <w:rsid w:val="0079584B"/>
    <w:rsid w:val="00795C03"/>
    <w:rsid w:val="00796434"/>
    <w:rsid w:val="007966A5"/>
    <w:rsid w:val="00796B13"/>
    <w:rsid w:val="00796D95"/>
    <w:rsid w:val="007970E6"/>
    <w:rsid w:val="00797150"/>
    <w:rsid w:val="00797E37"/>
    <w:rsid w:val="00797F67"/>
    <w:rsid w:val="007A0142"/>
    <w:rsid w:val="007A0D52"/>
    <w:rsid w:val="007A151C"/>
    <w:rsid w:val="007A162F"/>
    <w:rsid w:val="007A18E6"/>
    <w:rsid w:val="007A1A0C"/>
    <w:rsid w:val="007A1AAF"/>
    <w:rsid w:val="007A1C37"/>
    <w:rsid w:val="007A20D4"/>
    <w:rsid w:val="007A2674"/>
    <w:rsid w:val="007A36FC"/>
    <w:rsid w:val="007A4242"/>
    <w:rsid w:val="007A54CD"/>
    <w:rsid w:val="007A613E"/>
    <w:rsid w:val="007A6535"/>
    <w:rsid w:val="007A7774"/>
    <w:rsid w:val="007A7ECF"/>
    <w:rsid w:val="007B05F5"/>
    <w:rsid w:val="007B1008"/>
    <w:rsid w:val="007B1242"/>
    <w:rsid w:val="007B17CD"/>
    <w:rsid w:val="007B17EE"/>
    <w:rsid w:val="007B282D"/>
    <w:rsid w:val="007B331E"/>
    <w:rsid w:val="007B348B"/>
    <w:rsid w:val="007B38D8"/>
    <w:rsid w:val="007B3F78"/>
    <w:rsid w:val="007B495F"/>
    <w:rsid w:val="007B4B55"/>
    <w:rsid w:val="007B522D"/>
    <w:rsid w:val="007B5EDA"/>
    <w:rsid w:val="007B675A"/>
    <w:rsid w:val="007B6B14"/>
    <w:rsid w:val="007B6B9B"/>
    <w:rsid w:val="007B733C"/>
    <w:rsid w:val="007B78C2"/>
    <w:rsid w:val="007C0106"/>
    <w:rsid w:val="007C0363"/>
    <w:rsid w:val="007C1145"/>
    <w:rsid w:val="007C15F9"/>
    <w:rsid w:val="007C1B97"/>
    <w:rsid w:val="007C1D10"/>
    <w:rsid w:val="007C1F4E"/>
    <w:rsid w:val="007C23C1"/>
    <w:rsid w:val="007C2928"/>
    <w:rsid w:val="007C29E9"/>
    <w:rsid w:val="007C29FF"/>
    <w:rsid w:val="007C2C8E"/>
    <w:rsid w:val="007C2F15"/>
    <w:rsid w:val="007C2FAA"/>
    <w:rsid w:val="007C37F6"/>
    <w:rsid w:val="007C3B47"/>
    <w:rsid w:val="007C43AA"/>
    <w:rsid w:val="007C44F6"/>
    <w:rsid w:val="007C489E"/>
    <w:rsid w:val="007C48DE"/>
    <w:rsid w:val="007C5305"/>
    <w:rsid w:val="007C5750"/>
    <w:rsid w:val="007C578C"/>
    <w:rsid w:val="007C6820"/>
    <w:rsid w:val="007C6852"/>
    <w:rsid w:val="007C6C7D"/>
    <w:rsid w:val="007D0F5E"/>
    <w:rsid w:val="007D1D00"/>
    <w:rsid w:val="007D1DFD"/>
    <w:rsid w:val="007D2297"/>
    <w:rsid w:val="007D27FC"/>
    <w:rsid w:val="007D2CE9"/>
    <w:rsid w:val="007D2FEB"/>
    <w:rsid w:val="007D3DBC"/>
    <w:rsid w:val="007D411A"/>
    <w:rsid w:val="007D479C"/>
    <w:rsid w:val="007D543F"/>
    <w:rsid w:val="007D5990"/>
    <w:rsid w:val="007D6273"/>
    <w:rsid w:val="007D65C0"/>
    <w:rsid w:val="007D688C"/>
    <w:rsid w:val="007D6B4D"/>
    <w:rsid w:val="007D6E8A"/>
    <w:rsid w:val="007D6F4B"/>
    <w:rsid w:val="007D7409"/>
    <w:rsid w:val="007D77E4"/>
    <w:rsid w:val="007D7EF6"/>
    <w:rsid w:val="007E04EA"/>
    <w:rsid w:val="007E087A"/>
    <w:rsid w:val="007E09DB"/>
    <w:rsid w:val="007E1963"/>
    <w:rsid w:val="007E1979"/>
    <w:rsid w:val="007E2936"/>
    <w:rsid w:val="007E2D9E"/>
    <w:rsid w:val="007E3806"/>
    <w:rsid w:val="007E3AE2"/>
    <w:rsid w:val="007E4594"/>
    <w:rsid w:val="007E541D"/>
    <w:rsid w:val="007E55B9"/>
    <w:rsid w:val="007E5CB4"/>
    <w:rsid w:val="007E60AD"/>
    <w:rsid w:val="007E641E"/>
    <w:rsid w:val="007E7D38"/>
    <w:rsid w:val="007F0875"/>
    <w:rsid w:val="007F1C49"/>
    <w:rsid w:val="007F1E95"/>
    <w:rsid w:val="007F2495"/>
    <w:rsid w:val="007F30AC"/>
    <w:rsid w:val="007F3307"/>
    <w:rsid w:val="007F429E"/>
    <w:rsid w:val="007F4730"/>
    <w:rsid w:val="007F5027"/>
    <w:rsid w:val="007F51DE"/>
    <w:rsid w:val="007F5686"/>
    <w:rsid w:val="007F5BA8"/>
    <w:rsid w:val="007F62DF"/>
    <w:rsid w:val="007F665F"/>
    <w:rsid w:val="007F668B"/>
    <w:rsid w:val="007F66EE"/>
    <w:rsid w:val="007F6BB2"/>
    <w:rsid w:val="007F6D77"/>
    <w:rsid w:val="007F720F"/>
    <w:rsid w:val="007F7CAC"/>
    <w:rsid w:val="008002F1"/>
    <w:rsid w:val="00800C6D"/>
    <w:rsid w:val="00801C91"/>
    <w:rsid w:val="00801E06"/>
    <w:rsid w:val="00802467"/>
    <w:rsid w:val="00802796"/>
    <w:rsid w:val="008028B8"/>
    <w:rsid w:val="008028E4"/>
    <w:rsid w:val="00802A81"/>
    <w:rsid w:val="00802B0E"/>
    <w:rsid w:val="008034D9"/>
    <w:rsid w:val="00803C28"/>
    <w:rsid w:val="00803C98"/>
    <w:rsid w:val="00803DEE"/>
    <w:rsid w:val="00804702"/>
    <w:rsid w:val="00804806"/>
    <w:rsid w:val="00804A71"/>
    <w:rsid w:val="00804E75"/>
    <w:rsid w:val="0080501A"/>
    <w:rsid w:val="008053DE"/>
    <w:rsid w:val="00805549"/>
    <w:rsid w:val="00805CFE"/>
    <w:rsid w:val="00806C78"/>
    <w:rsid w:val="00806D6F"/>
    <w:rsid w:val="00807D37"/>
    <w:rsid w:val="0081056C"/>
    <w:rsid w:val="00810FA6"/>
    <w:rsid w:val="008111C2"/>
    <w:rsid w:val="00811232"/>
    <w:rsid w:val="0081151A"/>
    <w:rsid w:val="008117D5"/>
    <w:rsid w:val="008117E4"/>
    <w:rsid w:val="0081212B"/>
    <w:rsid w:val="00812753"/>
    <w:rsid w:val="00812B82"/>
    <w:rsid w:val="00812F8C"/>
    <w:rsid w:val="0081330C"/>
    <w:rsid w:val="00813319"/>
    <w:rsid w:val="008134CC"/>
    <w:rsid w:val="00813E35"/>
    <w:rsid w:val="00814C01"/>
    <w:rsid w:val="00815566"/>
    <w:rsid w:val="00815CB4"/>
    <w:rsid w:val="008167FF"/>
    <w:rsid w:val="00817337"/>
    <w:rsid w:val="00817396"/>
    <w:rsid w:val="008175BD"/>
    <w:rsid w:val="0081781B"/>
    <w:rsid w:val="008178EF"/>
    <w:rsid w:val="008179C7"/>
    <w:rsid w:val="00817D00"/>
    <w:rsid w:val="0082007B"/>
    <w:rsid w:val="00820703"/>
    <w:rsid w:val="00820A13"/>
    <w:rsid w:val="00822166"/>
    <w:rsid w:val="00822650"/>
    <w:rsid w:val="00822852"/>
    <w:rsid w:val="008230D6"/>
    <w:rsid w:val="00823DAF"/>
    <w:rsid w:val="008240BD"/>
    <w:rsid w:val="00824375"/>
    <w:rsid w:val="00824818"/>
    <w:rsid w:val="00824B2A"/>
    <w:rsid w:val="008254AB"/>
    <w:rsid w:val="00825534"/>
    <w:rsid w:val="00825567"/>
    <w:rsid w:val="00825C4A"/>
    <w:rsid w:val="00825F62"/>
    <w:rsid w:val="00826129"/>
    <w:rsid w:val="00827486"/>
    <w:rsid w:val="00827621"/>
    <w:rsid w:val="00827843"/>
    <w:rsid w:val="00830933"/>
    <w:rsid w:val="00830ED4"/>
    <w:rsid w:val="008314C8"/>
    <w:rsid w:val="00831E0C"/>
    <w:rsid w:val="00832343"/>
    <w:rsid w:val="00832662"/>
    <w:rsid w:val="00832B3A"/>
    <w:rsid w:val="00832BAD"/>
    <w:rsid w:val="00832C26"/>
    <w:rsid w:val="00832E7A"/>
    <w:rsid w:val="00834227"/>
    <w:rsid w:val="0083425F"/>
    <w:rsid w:val="00834389"/>
    <w:rsid w:val="00835021"/>
    <w:rsid w:val="00835A7C"/>
    <w:rsid w:val="00836898"/>
    <w:rsid w:val="0083694E"/>
    <w:rsid w:val="00836A03"/>
    <w:rsid w:val="00837277"/>
    <w:rsid w:val="008377EA"/>
    <w:rsid w:val="00837AA2"/>
    <w:rsid w:val="00840452"/>
    <w:rsid w:val="008406CE"/>
    <w:rsid w:val="00840936"/>
    <w:rsid w:val="00841C69"/>
    <w:rsid w:val="008425A9"/>
    <w:rsid w:val="00842B52"/>
    <w:rsid w:val="00842E23"/>
    <w:rsid w:val="00843D7E"/>
    <w:rsid w:val="008443FA"/>
    <w:rsid w:val="008445D7"/>
    <w:rsid w:val="008445E1"/>
    <w:rsid w:val="00844B07"/>
    <w:rsid w:val="00844B76"/>
    <w:rsid w:val="00844C22"/>
    <w:rsid w:val="00845A76"/>
    <w:rsid w:val="00845B43"/>
    <w:rsid w:val="0084601C"/>
    <w:rsid w:val="00846257"/>
    <w:rsid w:val="0084691C"/>
    <w:rsid w:val="00847C78"/>
    <w:rsid w:val="00847E72"/>
    <w:rsid w:val="00850929"/>
    <w:rsid w:val="00850CD2"/>
    <w:rsid w:val="00851483"/>
    <w:rsid w:val="00851618"/>
    <w:rsid w:val="00851B6D"/>
    <w:rsid w:val="0085234D"/>
    <w:rsid w:val="008525A8"/>
    <w:rsid w:val="00853210"/>
    <w:rsid w:val="00853252"/>
    <w:rsid w:val="008538F7"/>
    <w:rsid w:val="00853E89"/>
    <w:rsid w:val="00854AC3"/>
    <w:rsid w:val="0085516C"/>
    <w:rsid w:val="008562D9"/>
    <w:rsid w:val="00856743"/>
    <w:rsid w:val="008567AA"/>
    <w:rsid w:val="0086029C"/>
    <w:rsid w:val="00860674"/>
    <w:rsid w:val="00860B67"/>
    <w:rsid w:val="00860D01"/>
    <w:rsid w:val="0086133F"/>
    <w:rsid w:val="008615D8"/>
    <w:rsid w:val="00861CA0"/>
    <w:rsid w:val="00862541"/>
    <w:rsid w:val="00862A19"/>
    <w:rsid w:val="0086306C"/>
    <w:rsid w:val="008630AE"/>
    <w:rsid w:val="00863979"/>
    <w:rsid w:val="00863B64"/>
    <w:rsid w:val="008641F1"/>
    <w:rsid w:val="008645E3"/>
    <w:rsid w:val="00864784"/>
    <w:rsid w:val="008651D7"/>
    <w:rsid w:val="00865E53"/>
    <w:rsid w:val="00866596"/>
    <w:rsid w:val="00866733"/>
    <w:rsid w:val="00870403"/>
    <w:rsid w:val="008705E2"/>
    <w:rsid w:val="00870C96"/>
    <w:rsid w:val="00870D7E"/>
    <w:rsid w:val="008710FB"/>
    <w:rsid w:val="00872DAD"/>
    <w:rsid w:val="008738D7"/>
    <w:rsid w:val="00873C58"/>
    <w:rsid w:val="00874EF0"/>
    <w:rsid w:val="008753CB"/>
    <w:rsid w:val="008756B3"/>
    <w:rsid w:val="008765CC"/>
    <w:rsid w:val="008765E0"/>
    <w:rsid w:val="00877856"/>
    <w:rsid w:val="00877E43"/>
    <w:rsid w:val="00880324"/>
    <w:rsid w:val="008805EE"/>
    <w:rsid w:val="008807AA"/>
    <w:rsid w:val="00881002"/>
    <w:rsid w:val="008816FA"/>
    <w:rsid w:val="008822DA"/>
    <w:rsid w:val="008825D8"/>
    <w:rsid w:val="0088358B"/>
    <w:rsid w:val="008840AB"/>
    <w:rsid w:val="0088496C"/>
    <w:rsid w:val="00884EE6"/>
    <w:rsid w:val="0088527D"/>
    <w:rsid w:val="00885479"/>
    <w:rsid w:val="00886C02"/>
    <w:rsid w:val="00886D24"/>
    <w:rsid w:val="008870E1"/>
    <w:rsid w:val="008876EF"/>
    <w:rsid w:val="00887FBE"/>
    <w:rsid w:val="0089059C"/>
    <w:rsid w:val="00890642"/>
    <w:rsid w:val="00890E1D"/>
    <w:rsid w:val="00892693"/>
    <w:rsid w:val="00892FB2"/>
    <w:rsid w:val="00893110"/>
    <w:rsid w:val="00894EC3"/>
    <w:rsid w:val="00895235"/>
    <w:rsid w:val="00895780"/>
    <w:rsid w:val="00896152"/>
    <w:rsid w:val="00896636"/>
    <w:rsid w:val="00896C46"/>
    <w:rsid w:val="00896EC5"/>
    <w:rsid w:val="00897781"/>
    <w:rsid w:val="00897BFD"/>
    <w:rsid w:val="008A00D6"/>
    <w:rsid w:val="008A125A"/>
    <w:rsid w:val="008A158A"/>
    <w:rsid w:val="008A1B60"/>
    <w:rsid w:val="008A28F8"/>
    <w:rsid w:val="008A295B"/>
    <w:rsid w:val="008A2977"/>
    <w:rsid w:val="008A2E0C"/>
    <w:rsid w:val="008A37CA"/>
    <w:rsid w:val="008A3B32"/>
    <w:rsid w:val="008A3F51"/>
    <w:rsid w:val="008A4208"/>
    <w:rsid w:val="008A4620"/>
    <w:rsid w:val="008A50B7"/>
    <w:rsid w:val="008A51D8"/>
    <w:rsid w:val="008A54D7"/>
    <w:rsid w:val="008A552B"/>
    <w:rsid w:val="008A56D0"/>
    <w:rsid w:val="008A602D"/>
    <w:rsid w:val="008A6294"/>
    <w:rsid w:val="008A6870"/>
    <w:rsid w:val="008A68D2"/>
    <w:rsid w:val="008A6F38"/>
    <w:rsid w:val="008A7074"/>
    <w:rsid w:val="008A7466"/>
    <w:rsid w:val="008A7727"/>
    <w:rsid w:val="008B01F2"/>
    <w:rsid w:val="008B0BF6"/>
    <w:rsid w:val="008B0E35"/>
    <w:rsid w:val="008B1168"/>
    <w:rsid w:val="008B1885"/>
    <w:rsid w:val="008B22E7"/>
    <w:rsid w:val="008B2725"/>
    <w:rsid w:val="008B3492"/>
    <w:rsid w:val="008B3613"/>
    <w:rsid w:val="008B39A8"/>
    <w:rsid w:val="008B3A00"/>
    <w:rsid w:val="008B3C2B"/>
    <w:rsid w:val="008B41EA"/>
    <w:rsid w:val="008B4936"/>
    <w:rsid w:val="008B5201"/>
    <w:rsid w:val="008B5446"/>
    <w:rsid w:val="008B568E"/>
    <w:rsid w:val="008B646F"/>
    <w:rsid w:val="008B6759"/>
    <w:rsid w:val="008B67E9"/>
    <w:rsid w:val="008B70C5"/>
    <w:rsid w:val="008B7826"/>
    <w:rsid w:val="008C0103"/>
    <w:rsid w:val="008C03EE"/>
    <w:rsid w:val="008C089C"/>
    <w:rsid w:val="008C0DDB"/>
    <w:rsid w:val="008C1050"/>
    <w:rsid w:val="008C1E5E"/>
    <w:rsid w:val="008C3597"/>
    <w:rsid w:val="008C37FD"/>
    <w:rsid w:val="008C3F28"/>
    <w:rsid w:val="008C4509"/>
    <w:rsid w:val="008C484C"/>
    <w:rsid w:val="008C4968"/>
    <w:rsid w:val="008C4A22"/>
    <w:rsid w:val="008C4F1A"/>
    <w:rsid w:val="008C5121"/>
    <w:rsid w:val="008C53B5"/>
    <w:rsid w:val="008C543B"/>
    <w:rsid w:val="008C5932"/>
    <w:rsid w:val="008C5DCC"/>
    <w:rsid w:val="008C629B"/>
    <w:rsid w:val="008C6636"/>
    <w:rsid w:val="008C716C"/>
    <w:rsid w:val="008C7F3E"/>
    <w:rsid w:val="008D01A7"/>
    <w:rsid w:val="008D14F8"/>
    <w:rsid w:val="008D1BC8"/>
    <w:rsid w:val="008D208D"/>
    <w:rsid w:val="008D209B"/>
    <w:rsid w:val="008D24E4"/>
    <w:rsid w:val="008D2510"/>
    <w:rsid w:val="008D2A97"/>
    <w:rsid w:val="008D2CB9"/>
    <w:rsid w:val="008D3238"/>
    <w:rsid w:val="008D3899"/>
    <w:rsid w:val="008D3E68"/>
    <w:rsid w:val="008D4001"/>
    <w:rsid w:val="008D43AD"/>
    <w:rsid w:val="008D4A84"/>
    <w:rsid w:val="008D4BE8"/>
    <w:rsid w:val="008D5437"/>
    <w:rsid w:val="008D5944"/>
    <w:rsid w:val="008D59A1"/>
    <w:rsid w:val="008D5C67"/>
    <w:rsid w:val="008D6543"/>
    <w:rsid w:val="008D6826"/>
    <w:rsid w:val="008D6E25"/>
    <w:rsid w:val="008D72B9"/>
    <w:rsid w:val="008D7534"/>
    <w:rsid w:val="008D7968"/>
    <w:rsid w:val="008E06A2"/>
    <w:rsid w:val="008E0949"/>
    <w:rsid w:val="008E0EF3"/>
    <w:rsid w:val="008E16FD"/>
    <w:rsid w:val="008E1751"/>
    <w:rsid w:val="008E19FA"/>
    <w:rsid w:val="008E2562"/>
    <w:rsid w:val="008E3200"/>
    <w:rsid w:val="008E343D"/>
    <w:rsid w:val="008E3990"/>
    <w:rsid w:val="008E3B9E"/>
    <w:rsid w:val="008E3D52"/>
    <w:rsid w:val="008E4125"/>
    <w:rsid w:val="008E47F8"/>
    <w:rsid w:val="008E52E7"/>
    <w:rsid w:val="008E601B"/>
    <w:rsid w:val="008E6C85"/>
    <w:rsid w:val="008E6F35"/>
    <w:rsid w:val="008E734C"/>
    <w:rsid w:val="008E77EF"/>
    <w:rsid w:val="008E79DE"/>
    <w:rsid w:val="008E79DF"/>
    <w:rsid w:val="008E7FFD"/>
    <w:rsid w:val="008F013E"/>
    <w:rsid w:val="008F03E3"/>
    <w:rsid w:val="008F18AA"/>
    <w:rsid w:val="008F19F2"/>
    <w:rsid w:val="008F1ED1"/>
    <w:rsid w:val="008F21CE"/>
    <w:rsid w:val="008F2831"/>
    <w:rsid w:val="008F2B43"/>
    <w:rsid w:val="008F2C8C"/>
    <w:rsid w:val="008F3107"/>
    <w:rsid w:val="008F3668"/>
    <w:rsid w:val="008F4C65"/>
    <w:rsid w:val="008F4ED3"/>
    <w:rsid w:val="008F520C"/>
    <w:rsid w:val="008F5707"/>
    <w:rsid w:val="008F5D6E"/>
    <w:rsid w:val="008F6222"/>
    <w:rsid w:val="008F6655"/>
    <w:rsid w:val="008F743D"/>
    <w:rsid w:val="008F7EB9"/>
    <w:rsid w:val="00900163"/>
    <w:rsid w:val="00900B50"/>
    <w:rsid w:val="009015C4"/>
    <w:rsid w:val="0090169B"/>
    <w:rsid w:val="009022B8"/>
    <w:rsid w:val="00902391"/>
    <w:rsid w:val="009029D4"/>
    <w:rsid w:val="00903099"/>
    <w:rsid w:val="00903588"/>
    <w:rsid w:val="00903D3F"/>
    <w:rsid w:val="009040A0"/>
    <w:rsid w:val="0090495D"/>
    <w:rsid w:val="00904F0E"/>
    <w:rsid w:val="009056F6"/>
    <w:rsid w:val="00905EB3"/>
    <w:rsid w:val="00906622"/>
    <w:rsid w:val="009066D4"/>
    <w:rsid w:val="0090673D"/>
    <w:rsid w:val="009068F2"/>
    <w:rsid w:val="00906C03"/>
    <w:rsid w:val="009070E0"/>
    <w:rsid w:val="009072D0"/>
    <w:rsid w:val="00907384"/>
    <w:rsid w:val="00907ED1"/>
    <w:rsid w:val="00910E4F"/>
    <w:rsid w:val="00911EB5"/>
    <w:rsid w:val="00912738"/>
    <w:rsid w:val="009129A7"/>
    <w:rsid w:val="00912A2C"/>
    <w:rsid w:val="00912D4B"/>
    <w:rsid w:val="009136BA"/>
    <w:rsid w:val="009136F6"/>
    <w:rsid w:val="00913B67"/>
    <w:rsid w:val="00913CD3"/>
    <w:rsid w:val="00914F5C"/>
    <w:rsid w:val="00914FC9"/>
    <w:rsid w:val="00915FB1"/>
    <w:rsid w:val="009161F6"/>
    <w:rsid w:val="0091721A"/>
    <w:rsid w:val="009172D5"/>
    <w:rsid w:val="00917B87"/>
    <w:rsid w:val="00920075"/>
    <w:rsid w:val="009202CE"/>
    <w:rsid w:val="009204EF"/>
    <w:rsid w:val="00920BAB"/>
    <w:rsid w:val="00921153"/>
    <w:rsid w:val="009218E5"/>
    <w:rsid w:val="009222A7"/>
    <w:rsid w:val="0092282D"/>
    <w:rsid w:val="00922B18"/>
    <w:rsid w:val="00923DA9"/>
    <w:rsid w:val="00923F58"/>
    <w:rsid w:val="0092476E"/>
    <w:rsid w:val="009248B2"/>
    <w:rsid w:val="00924FF2"/>
    <w:rsid w:val="00925194"/>
    <w:rsid w:val="009259C7"/>
    <w:rsid w:val="00925B0F"/>
    <w:rsid w:val="00925FE7"/>
    <w:rsid w:val="00926189"/>
    <w:rsid w:val="009261E1"/>
    <w:rsid w:val="00926B23"/>
    <w:rsid w:val="0092710C"/>
    <w:rsid w:val="009275F9"/>
    <w:rsid w:val="00927BC0"/>
    <w:rsid w:val="009301C6"/>
    <w:rsid w:val="00930272"/>
    <w:rsid w:val="00930742"/>
    <w:rsid w:val="0093076A"/>
    <w:rsid w:val="00930A08"/>
    <w:rsid w:val="009310E2"/>
    <w:rsid w:val="0093250D"/>
    <w:rsid w:val="00932B63"/>
    <w:rsid w:val="00934090"/>
    <w:rsid w:val="00934B92"/>
    <w:rsid w:val="00934C36"/>
    <w:rsid w:val="00934EA5"/>
    <w:rsid w:val="00934EC0"/>
    <w:rsid w:val="009350B5"/>
    <w:rsid w:val="00935C89"/>
    <w:rsid w:val="0093688A"/>
    <w:rsid w:val="009368B5"/>
    <w:rsid w:val="009370C6"/>
    <w:rsid w:val="009374BB"/>
    <w:rsid w:val="00937996"/>
    <w:rsid w:val="009408E5"/>
    <w:rsid w:val="009410DB"/>
    <w:rsid w:val="00941298"/>
    <w:rsid w:val="0094164D"/>
    <w:rsid w:val="009417C8"/>
    <w:rsid w:val="009420D2"/>
    <w:rsid w:val="0094229F"/>
    <w:rsid w:val="009422AA"/>
    <w:rsid w:val="00942C4E"/>
    <w:rsid w:val="00942DE1"/>
    <w:rsid w:val="009439D4"/>
    <w:rsid w:val="00944888"/>
    <w:rsid w:val="00945327"/>
    <w:rsid w:val="00945D0E"/>
    <w:rsid w:val="0094646D"/>
    <w:rsid w:val="00946B6F"/>
    <w:rsid w:val="00946D22"/>
    <w:rsid w:val="00947C52"/>
    <w:rsid w:val="0095046C"/>
    <w:rsid w:val="00950D5B"/>
    <w:rsid w:val="009512E0"/>
    <w:rsid w:val="00951641"/>
    <w:rsid w:val="009517D1"/>
    <w:rsid w:val="009520E2"/>
    <w:rsid w:val="0095309D"/>
    <w:rsid w:val="00953417"/>
    <w:rsid w:val="009536C3"/>
    <w:rsid w:val="00953799"/>
    <w:rsid w:val="00953A72"/>
    <w:rsid w:val="00953C0D"/>
    <w:rsid w:val="00954902"/>
    <w:rsid w:val="00954AFF"/>
    <w:rsid w:val="009550DD"/>
    <w:rsid w:val="0095579A"/>
    <w:rsid w:val="0095599C"/>
    <w:rsid w:val="00955C3A"/>
    <w:rsid w:val="00955D06"/>
    <w:rsid w:val="0095645A"/>
    <w:rsid w:val="00956582"/>
    <w:rsid w:val="00956A6B"/>
    <w:rsid w:val="00956C4F"/>
    <w:rsid w:val="00957056"/>
    <w:rsid w:val="0095710C"/>
    <w:rsid w:val="00957159"/>
    <w:rsid w:val="00957E19"/>
    <w:rsid w:val="009608DB"/>
    <w:rsid w:val="00960A74"/>
    <w:rsid w:val="0096147B"/>
    <w:rsid w:val="00961B4B"/>
    <w:rsid w:val="00961EFC"/>
    <w:rsid w:val="00962343"/>
    <w:rsid w:val="009628E2"/>
    <w:rsid w:val="00962944"/>
    <w:rsid w:val="00962BC2"/>
    <w:rsid w:val="00962C2E"/>
    <w:rsid w:val="00962C50"/>
    <w:rsid w:val="009642D7"/>
    <w:rsid w:val="0096446A"/>
    <w:rsid w:val="0096453D"/>
    <w:rsid w:val="00964BA8"/>
    <w:rsid w:val="00964ED1"/>
    <w:rsid w:val="00965072"/>
    <w:rsid w:val="0096544C"/>
    <w:rsid w:val="009658DB"/>
    <w:rsid w:val="00965ED2"/>
    <w:rsid w:val="00966199"/>
    <w:rsid w:val="009671C6"/>
    <w:rsid w:val="00967300"/>
    <w:rsid w:val="00967FBA"/>
    <w:rsid w:val="00970F69"/>
    <w:rsid w:val="009710AB"/>
    <w:rsid w:val="00971E2C"/>
    <w:rsid w:val="00971F09"/>
    <w:rsid w:val="00972482"/>
    <w:rsid w:val="00972984"/>
    <w:rsid w:val="00972DBE"/>
    <w:rsid w:val="00972F1A"/>
    <w:rsid w:val="00973491"/>
    <w:rsid w:val="00973AB3"/>
    <w:rsid w:val="00974393"/>
    <w:rsid w:val="009745BE"/>
    <w:rsid w:val="0097465C"/>
    <w:rsid w:val="00974B70"/>
    <w:rsid w:val="00974C6A"/>
    <w:rsid w:val="00975645"/>
    <w:rsid w:val="009756A1"/>
    <w:rsid w:val="00975D65"/>
    <w:rsid w:val="009760D2"/>
    <w:rsid w:val="009770D8"/>
    <w:rsid w:val="0097784B"/>
    <w:rsid w:val="00977FA3"/>
    <w:rsid w:val="00980561"/>
    <w:rsid w:val="009808AD"/>
    <w:rsid w:val="00980B46"/>
    <w:rsid w:val="00980DF2"/>
    <w:rsid w:val="00981827"/>
    <w:rsid w:val="0098182F"/>
    <w:rsid w:val="00981B4A"/>
    <w:rsid w:val="009829B0"/>
    <w:rsid w:val="00982BE9"/>
    <w:rsid w:val="0098315C"/>
    <w:rsid w:val="0098385C"/>
    <w:rsid w:val="00984A1A"/>
    <w:rsid w:val="00984CDF"/>
    <w:rsid w:val="00985741"/>
    <w:rsid w:val="009877B2"/>
    <w:rsid w:val="00987825"/>
    <w:rsid w:val="009879AA"/>
    <w:rsid w:val="00987C7C"/>
    <w:rsid w:val="00990FF8"/>
    <w:rsid w:val="009916C3"/>
    <w:rsid w:val="00991896"/>
    <w:rsid w:val="00991EFD"/>
    <w:rsid w:val="00991F90"/>
    <w:rsid w:val="009922AA"/>
    <w:rsid w:val="0099243B"/>
    <w:rsid w:val="00992F58"/>
    <w:rsid w:val="00993021"/>
    <w:rsid w:val="00993082"/>
    <w:rsid w:val="009933B8"/>
    <w:rsid w:val="00993D73"/>
    <w:rsid w:val="009942ED"/>
    <w:rsid w:val="00994B2B"/>
    <w:rsid w:val="00994B8F"/>
    <w:rsid w:val="009955E3"/>
    <w:rsid w:val="00995A84"/>
    <w:rsid w:val="009961FC"/>
    <w:rsid w:val="00996211"/>
    <w:rsid w:val="0099634D"/>
    <w:rsid w:val="0099680C"/>
    <w:rsid w:val="009970CE"/>
    <w:rsid w:val="009974BE"/>
    <w:rsid w:val="00997AB8"/>
    <w:rsid w:val="00997AD7"/>
    <w:rsid w:val="009A02AB"/>
    <w:rsid w:val="009A05FA"/>
    <w:rsid w:val="009A0D2B"/>
    <w:rsid w:val="009A140F"/>
    <w:rsid w:val="009A1602"/>
    <w:rsid w:val="009A17A8"/>
    <w:rsid w:val="009A1D5C"/>
    <w:rsid w:val="009A3474"/>
    <w:rsid w:val="009A34D3"/>
    <w:rsid w:val="009A36B4"/>
    <w:rsid w:val="009A3EEF"/>
    <w:rsid w:val="009A41B8"/>
    <w:rsid w:val="009A433E"/>
    <w:rsid w:val="009A47DB"/>
    <w:rsid w:val="009A4A18"/>
    <w:rsid w:val="009A4D58"/>
    <w:rsid w:val="009A5277"/>
    <w:rsid w:val="009A5619"/>
    <w:rsid w:val="009A5883"/>
    <w:rsid w:val="009A6539"/>
    <w:rsid w:val="009A6585"/>
    <w:rsid w:val="009A689C"/>
    <w:rsid w:val="009A6DD7"/>
    <w:rsid w:val="009A6E1A"/>
    <w:rsid w:val="009A6E3F"/>
    <w:rsid w:val="009A6FCF"/>
    <w:rsid w:val="009A74A6"/>
    <w:rsid w:val="009A7B98"/>
    <w:rsid w:val="009B06A9"/>
    <w:rsid w:val="009B15A6"/>
    <w:rsid w:val="009B16D0"/>
    <w:rsid w:val="009B19BE"/>
    <w:rsid w:val="009B2662"/>
    <w:rsid w:val="009B27E5"/>
    <w:rsid w:val="009B2DF5"/>
    <w:rsid w:val="009B2EFB"/>
    <w:rsid w:val="009B3895"/>
    <w:rsid w:val="009B3E68"/>
    <w:rsid w:val="009B405E"/>
    <w:rsid w:val="009B4906"/>
    <w:rsid w:val="009B5067"/>
    <w:rsid w:val="009B5099"/>
    <w:rsid w:val="009B53E3"/>
    <w:rsid w:val="009B56D8"/>
    <w:rsid w:val="009B5C62"/>
    <w:rsid w:val="009B61B0"/>
    <w:rsid w:val="009B6745"/>
    <w:rsid w:val="009B6C08"/>
    <w:rsid w:val="009B6F0E"/>
    <w:rsid w:val="009B6FA9"/>
    <w:rsid w:val="009B73C3"/>
    <w:rsid w:val="009B74B0"/>
    <w:rsid w:val="009B7917"/>
    <w:rsid w:val="009B7960"/>
    <w:rsid w:val="009B7EA1"/>
    <w:rsid w:val="009C05E5"/>
    <w:rsid w:val="009C0CA9"/>
    <w:rsid w:val="009C1E27"/>
    <w:rsid w:val="009C20C9"/>
    <w:rsid w:val="009C20EA"/>
    <w:rsid w:val="009C31EA"/>
    <w:rsid w:val="009C32F3"/>
    <w:rsid w:val="009C368D"/>
    <w:rsid w:val="009C36C5"/>
    <w:rsid w:val="009C381C"/>
    <w:rsid w:val="009C3D0E"/>
    <w:rsid w:val="009C3D30"/>
    <w:rsid w:val="009C435F"/>
    <w:rsid w:val="009C4451"/>
    <w:rsid w:val="009C4B70"/>
    <w:rsid w:val="009C4CF3"/>
    <w:rsid w:val="009C58C8"/>
    <w:rsid w:val="009C5C2C"/>
    <w:rsid w:val="009C6021"/>
    <w:rsid w:val="009C66FF"/>
    <w:rsid w:val="009C7358"/>
    <w:rsid w:val="009C7886"/>
    <w:rsid w:val="009D0B26"/>
    <w:rsid w:val="009D0F67"/>
    <w:rsid w:val="009D1255"/>
    <w:rsid w:val="009D2592"/>
    <w:rsid w:val="009D25AD"/>
    <w:rsid w:val="009D3B4C"/>
    <w:rsid w:val="009D4C68"/>
    <w:rsid w:val="009D55AE"/>
    <w:rsid w:val="009D5C5A"/>
    <w:rsid w:val="009D5CD8"/>
    <w:rsid w:val="009D619E"/>
    <w:rsid w:val="009D63CC"/>
    <w:rsid w:val="009D6FE8"/>
    <w:rsid w:val="009D7521"/>
    <w:rsid w:val="009D7916"/>
    <w:rsid w:val="009E0172"/>
    <w:rsid w:val="009E0F24"/>
    <w:rsid w:val="009E0F49"/>
    <w:rsid w:val="009E0FD6"/>
    <w:rsid w:val="009E1987"/>
    <w:rsid w:val="009E2786"/>
    <w:rsid w:val="009E2DA0"/>
    <w:rsid w:val="009E340B"/>
    <w:rsid w:val="009E3703"/>
    <w:rsid w:val="009E38E6"/>
    <w:rsid w:val="009E3DD6"/>
    <w:rsid w:val="009E3F8D"/>
    <w:rsid w:val="009E40B6"/>
    <w:rsid w:val="009E49E9"/>
    <w:rsid w:val="009E5359"/>
    <w:rsid w:val="009E5BA3"/>
    <w:rsid w:val="009E674C"/>
    <w:rsid w:val="009E6912"/>
    <w:rsid w:val="009E6DF3"/>
    <w:rsid w:val="009E70D5"/>
    <w:rsid w:val="009E7124"/>
    <w:rsid w:val="009F01EF"/>
    <w:rsid w:val="009F04C9"/>
    <w:rsid w:val="009F159C"/>
    <w:rsid w:val="009F163A"/>
    <w:rsid w:val="009F263E"/>
    <w:rsid w:val="009F2963"/>
    <w:rsid w:val="009F32B6"/>
    <w:rsid w:val="009F3A70"/>
    <w:rsid w:val="009F3AC7"/>
    <w:rsid w:val="009F4108"/>
    <w:rsid w:val="009F49A1"/>
    <w:rsid w:val="009F4EE5"/>
    <w:rsid w:val="009F5C23"/>
    <w:rsid w:val="009F5C42"/>
    <w:rsid w:val="009F67B9"/>
    <w:rsid w:val="009F70BD"/>
    <w:rsid w:val="009F7AA1"/>
    <w:rsid w:val="00A00586"/>
    <w:rsid w:val="00A0191A"/>
    <w:rsid w:val="00A01CEF"/>
    <w:rsid w:val="00A02A7A"/>
    <w:rsid w:val="00A030E7"/>
    <w:rsid w:val="00A03330"/>
    <w:rsid w:val="00A0358D"/>
    <w:rsid w:val="00A038F9"/>
    <w:rsid w:val="00A039E6"/>
    <w:rsid w:val="00A03C29"/>
    <w:rsid w:val="00A0418E"/>
    <w:rsid w:val="00A0505E"/>
    <w:rsid w:val="00A0559E"/>
    <w:rsid w:val="00A055CA"/>
    <w:rsid w:val="00A05C1D"/>
    <w:rsid w:val="00A05E36"/>
    <w:rsid w:val="00A05FD3"/>
    <w:rsid w:val="00A066D0"/>
    <w:rsid w:val="00A0693D"/>
    <w:rsid w:val="00A0724D"/>
    <w:rsid w:val="00A110C7"/>
    <w:rsid w:val="00A115B1"/>
    <w:rsid w:val="00A117EE"/>
    <w:rsid w:val="00A11FE3"/>
    <w:rsid w:val="00A12085"/>
    <w:rsid w:val="00A120CC"/>
    <w:rsid w:val="00A1256E"/>
    <w:rsid w:val="00A1269A"/>
    <w:rsid w:val="00A12B18"/>
    <w:rsid w:val="00A12B62"/>
    <w:rsid w:val="00A12D84"/>
    <w:rsid w:val="00A12F1F"/>
    <w:rsid w:val="00A12FAE"/>
    <w:rsid w:val="00A13906"/>
    <w:rsid w:val="00A1390B"/>
    <w:rsid w:val="00A13AFD"/>
    <w:rsid w:val="00A13F19"/>
    <w:rsid w:val="00A13FA1"/>
    <w:rsid w:val="00A1406C"/>
    <w:rsid w:val="00A141EA"/>
    <w:rsid w:val="00A14A02"/>
    <w:rsid w:val="00A152F6"/>
    <w:rsid w:val="00A15DB6"/>
    <w:rsid w:val="00A15EB1"/>
    <w:rsid w:val="00A15F52"/>
    <w:rsid w:val="00A1609E"/>
    <w:rsid w:val="00A163DE"/>
    <w:rsid w:val="00A165BB"/>
    <w:rsid w:val="00A1671E"/>
    <w:rsid w:val="00A169A5"/>
    <w:rsid w:val="00A16B40"/>
    <w:rsid w:val="00A16C88"/>
    <w:rsid w:val="00A16D84"/>
    <w:rsid w:val="00A1708A"/>
    <w:rsid w:val="00A173BA"/>
    <w:rsid w:val="00A178DF"/>
    <w:rsid w:val="00A201A9"/>
    <w:rsid w:val="00A2040E"/>
    <w:rsid w:val="00A2048C"/>
    <w:rsid w:val="00A206DD"/>
    <w:rsid w:val="00A2081C"/>
    <w:rsid w:val="00A20C04"/>
    <w:rsid w:val="00A21564"/>
    <w:rsid w:val="00A2182B"/>
    <w:rsid w:val="00A21A23"/>
    <w:rsid w:val="00A21BCE"/>
    <w:rsid w:val="00A22745"/>
    <w:rsid w:val="00A22A93"/>
    <w:rsid w:val="00A23025"/>
    <w:rsid w:val="00A23766"/>
    <w:rsid w:val="00A23A99"/>
    <w:rsid w:val="00A242A9"/>
    <w:rsid w:val="00A2494A"/>
    <w:rsid w:val="00A250A5"/>
    <w:rsid w:val="00A257DF"/>
    <w:rsid w:val="00A25CBC"/>
    <w:rsid w:val="00A25D61"/>
    <w:rsid w:val="00A26104"/>
    <w:rsid w:val="00A2634E"/>
    <w:rsid w:val="00A26498"/>
    <w:rsid w:val="00A2659B"/>
    <w:rsid w:val="00A26FB2"/>
    <w:rsid w:val="00A27AC5"/>
    <w:rsid w:val="00A30121"/>
    <w:rsid w:val="00A30C32"/>
    <w:rsid w:val="00A30ED4"/>
    <w:rsid w:val="00A31E30"/>
    <w:rsid w:val="00A321CA"/>
    <w:rsid w:val="00A3245C"/>
    <w:rsid w:val="00A33DFF"/>
    <w:rsid w:val="00A34633"/>
    <w:rsid w:val="00A35372"/>
    <w:rsid w:val="00A35932"/>
    <w:rsid w:val="00A35CE2"/>
    <w:rsid w:val="00A35E6B"/>
    <w:rsid w:val="00A36BF5"/>
    <w:rsid w:val="00A36FD3"/>
    <w:rsid w:val="00A371FB"/>
    <w:rsid w:val="00A407FE"/>
    <w:rsid w:val="00A40862"/>
    <w:rsid w:val="00A409C3"/>
    <w:rsid w:val="00A40B3B"/>
    <w:rsid w:val="00A40E3B"/>
    <w:rsid w:val="00A412DB"/>
    <w:rsid w:val="00A414D6"/>
    <w:rsid w:val="00A4159F"/>
    <w:rsid w:val="00A415BA"/>
    <w:rsid w:val="00A415ED"/>
    <w:rsid w:val="00A41C9F"/>
    <w:rsid w:val="00A41EEF"/>
    <w:rsid w:val="00A421CF"/>
    <w:rsid w:val="00A4232F"/>
    <w:rsid w:val="00A42C31"/>
    <w:rsid w:val="00A4365B"/>
    <w:rsid w:val="00A442F6"/>
    <w:rsid w:val="00A4443B"/>
    <w:rsid w:val="00A444C4"/>
    <w:rsid w:val="00A44874"/>
    <w:rsid w:val="00A4526E"/>
    <w:rsid w:val="00A45CF5"/>
    <w:rsid w:val="00A465DB"/>
    <w:rsid w:val="00A46C08"/>
    <w:rsid w:val="00A46F42"/>
    <w:rsid w:val="00A47646"/>
    <w:rsid w:val="00A478A1"/>
    <w:rsid w:val="00A50344"/>
    <w:rsid w:val="00A50FA4"/>
    <w:rsid w:val="00A519D2"/>
    <w:rsid w:val="00A51D83"/>
    <w:rsid w:val="00A523C8"/>
    <w:rsid w:val="00A52686"/>
    <w:rsid w:val="00A52A5C"/>
    <w:rsid w:val="00A52BF6"/>
    <w:rsid w:val="00A5306D"/>
    <w:rsid w:val="00A532BC"/>
    <w:rsid w:val="00A533AC"/>
    <w:rsid w:val="00A53566"/>
    <w:rsid w:val="00A5386F"/>
    <w:rsid w:val="00A53DFE"/>
    <w:rsid w:val="00A540EC"/>
    <w:rsid w:val="00A54216"/>
    <w:rsid w:val="00A544D0"/>
    <w:rsid w:val="00A54E41"/>
    <w:rsid w:val="00A54F5E"/>
    <w:rsid w:val="00A55115"/>
    <w:rsid w:val="00A55959"/>
    <w:rsid w:val="00A55978"/>
    <w:rsid w:val="00A55ACF"/>
    <w:rsid w:val="00A55B4E"/>
    <w:rsid w:val="00A55BEF"/>
    <w:rsid w:val="00A5635B"/>
    <w:rsid w:val="00A56C8C"/>
    <w:rsid w:val="00A57411"/>
    <w:rsid w:val="00A57482"/>
    <w:rsid w:val="00A6031A"/>
    <w:rsid w:val="00A6203A"/>
    <w:rsid w:val="00A62142"/>
    <w:rsid w:val="00A6238A"/>
    <w:rsid w:val="00A6257B"/>
    <w:rsid w:val="00A63226"/>
    <w:rsid w:val="00A6361D"/>
    <w:rsid w:val="00A639F0"/>
    <w:rsid w:val="00A63A5F"/>
    <w:rsid w:val="00A644E6"/>
    <w:rsid w:val="00A64835"/>
    <w:rsid w:val="00A64A9D"/>
    <w:rsid w:val="00A663A7"/>
    <w:rsid w:val="00A66444"/>
    <w:rsid w:val="00A6655E"/>
    <w:rsid w:val="00A670AF"/>
    <w:rsid w:val="00A6772B"/>
    <w:rsid w:val="00A702BD"/>
    <w:rsid w:val="00A709DD"/>
    <w:rsid w:val="00A70EFB"/>
    <w:rsid w:val="00A70FD5"/>
    <w:rsid w:val="00A71B7F"/>
    <w:rsid w:val="00A71BA3"/>
    <w:rsid w:val="00A72480"/>
    <w:rsid w:val="00A725AF"/>
    <w:rsid w:val="00A72E95"/>
    <w:rsid w:val="00A73259"/>
    <w:rsid w:val="00A73718"/>
    <w:rsid w:val="00A73D39"/>
    <w:rsid w:val="00A74182"/>
    <w:rsid w:val="00A743F6"/>
    <w:rsid w:val="00A74B40"/>
    <w:rsid w:val="00A74FCB"/>
    <w:rsid w:val="00A7502E"/>
    <w:rsid w:val="00A75121"/>
    <w:rsid w:val="00A75337"/>
    <w:rsid w:val="00A75741"/>
    <w:rsid w:val="00A759E0"/>
    <w:rsid w:val="00A77180"/>
    <w:rsid w:val="00A77205"/>
    <w:rsid w:val="00A77430"/>
    <w:rsid w:val="00A7763B"/>
    <w:rsid w:val="00A77A53"/>
    <w:rsid w:val="00A77E47"/>
    <w:rsid w:val="00A80101"/>
    <w:rsid w:val="00A80CA4"/>
    <w:rsid w:val="00A81127"/>
    <w:rsid w:val="00A81541"/>
    <w:rsid w:val="00A8206C"/>
    <w:rsid w:val="00A8225A"/>
    <w:rsid w:val="00A824B5"/>
    <w:rsid w:val="00A82604"/>
    <w:rsid w:val="00A82C04"/>
    <w:rsid w:val="00A82C86"/>
    <w:rsid w:val="00A8313C"/>
    <w:rsid w:val="00A83F56"/>
    <w:rsid w:val="00A842C2"/>
    <w:rsid w:val="00A847CA"/>
    <w:rsid w:val="00A8481E"/>
    <w:rsid w:val="00A849DC"/>
    <w:rsid w:val="00A84CA0"/>
    <w:rsid w:val="00A84E18"/>
    <w:rsid w:val="00A84E67"/>
    <w:rsid w:val="00A85207"/>
    <w:rsid w:val="00A857CF"/>
    <w:rsid w:val="00A85C02"/>
    <w:rsid w:val="00A8647B"/>
    <w:rsid w:val="00A86517"/>
    <w:rsid w:val="00A8690A"/>
    <w:rsid w:val="00A86A01"/>
    <w:rsid w:val="00A86E40"/>
    <w:rsid w:val="00A86FD8"/>
    <w:rsid w:val="00A87596"/>
    <w:rsid w:val="00A902C0"/>
    <w:rsid w:val="00A90777"/>
    <w:rsid w:val="00A90FD2"/>
    <w:rsid w:val="00A91562"/>
    <w:rsid w:val="00A91671"/>
    <w:rsid w:val="00A916FD"/>
    <w:rsid w:val="00A927AA"/>
    <w:rsid w:val="00A92A8D"/>
    <w:rsid w:val="00A9320B"/>
    <w:rsid w:val="00A93429"/>
    <w:rsid w:val="00A93CEE"/>
    <w:rsid w:val="00A943F5"/>
    <w:rsid w:val="00A946F9"/>
    <w:rsid w:val="00A94B61"/>
    <w:rsid w:val="00A95AD8"/>
    <w:rsid w:val="00A95B0F"/>
    <w:rsid w:val="00A95CC2"/>
    <w:rsid w:val="00A95DC6"/>
    <w:rsid w:val="00A960FF"/>
    <w:rsid w:val="00A965F7"/>
    <w:rsid w:val="00A9742E"/>
    <w:rsid w:val="00A97BA6"/>
    <w:rsid w:val="00A97E40"/>
    <w:rsid w:val="00AA0948"/>
    <w:rsid w:val="00AA0BCF"/>
    <w:rsid w:val="00AA0E55"/>
    <w:rsid w:val="00AA1B04"/>
    <w:rsid w:val="00AA2883"/>
    <w:rsid w:val="00AA3422"/>
    <w:rsid w:val="00AA398B"/>
    <w:rsid w:val="00AA4844"/>
    <w:rsid w:val="00AA5231"/>
    <w:rsid w:val="00AA5266"/>
    <w:rsid w:val="00AA6494"/>
    <w:rsid w:val="00AA6647"/>
    <w:rsid w:val="00AA684C"/>
    <w:rsid w:val="00AA6B63"/>
    <w:rsid w:val="00AA7E7A"/>
    <w:rsid w:val="00AA7FBF"/>
    <w:rsid w:val="00AB026A"/>
    <w:rsid w:val="00AB07A2"/>
    <w:rsid w:val="00AB1B53"/>
    <w:rsid w:val="00AB29C0"/>
    <w:rsid w:val="00AB2DE9"/>
    <w:rsid w:val="00AB37BC"/>
    <w:rsid w:val="00AB3A3A"/>
    <w:rsid w:val="00AB3AAD"/>
    <w:rsid w:val="00AB3DF1"/>
    <w:rsid w:val="00AB47A2"/>
    <w:rsid w:val="00AB4909"/>
    <w:rsid w:val="00AB4A3A"/>
    <w:rsid w:val="00AB4E67"/>
    <w:rsid w:val="00AB5155"/>
    <w:rsid w:val="00AB5291"/>
    <w:rsid w:val="00AB570D"/>
    <w:rsid w:val="00AB5871"/>
    <w:rsid w:val="00AB5A47"/>
    <w:rsid w:val="00AB668A"/>
    <w:rsid w:val="00AB7490"/>
    <w:rsid w:val="00AB7533"/>
    <w:rsid w:val="00AB7922"/>
    <w:rsid w:val="00AC1235"/>
    <w:rsid w:val="00AC1706"/>
    <w:rsid w:val="00AC18ED"/>
    <w:rsid w:val="00AC2632"/>
    <w:rsid w:val="00AC264A"/>
    <w:rsid w:val="00AC293F"/>
    <w:rsid w:val="00AC2A73"/>
    <w:rsid w:val="00AC4B64"/>
    <w:rsid w:val="00AC4E58"/>
    <w:rsid w:val="00AC4E81"/>
    <w:rsid w:val="00AC4F33"/>
    <w:rsid w:val="00AC58F6"/>
    <w:rsid w:val="00AC6660"/>
    <w:rsid w:val="00AC67D9"/>
    <w:rsid w:val="00AC701F"/>
    <w:rsid w:val="00AC770C"/>
    <w:rsid w:val="00AC7F13"/>
    <w:rsid w:val="00AC7F46"/>
    <w:rsid w:val="00AD00C6"/>
    <w:rsid w:val="00AD090B"/>
    <w:rsid w:val="00AD0C5F"/>
    <w:rsid w:val="00AD0E3E"/>
    <w:rsid w:val="00AD1411"/>
    <w:rsid w:val="00AD166B"/>
    <w:rsid w:val="00AD1ED5"/>
    <w:rsid w:val="00AD21E0"/>
    <w:rsid w:val="00AD24AB"/>
    <w:rsid w:val="00AD2565"/>
    <w:rsid w:val="00AD2C46"/>
    <w:rsid w:val="00AD2F49"/>
    <w:rsid w:val="00AD2F9D"/>
    <w:rsid w:val="00AD39C9"/>
    <w:rsid w:val="00AD3EFC"/>
    <w:rsid w:val="00AD3FFE"/>
    <w:rsid w:val="00AD4033"/>
    <w:rsid w:val="00AD4906"/>
    <w:rsid w:val="00AD490C"/>
    <w:rsid w:val="00AD4F14"/>
    <w:rsid w:val="00AD5CAA"/>
    <w:rsid w:val="00AD609C"/>
    <w:rsid w:val="00AD62B0"/>
    <w:rsid w:val="00AD648B"/>
    <w:rsid w:val="00AD65AF"/>
    <w:rsid w:val="00AD690A"/>
    <w:rsid w:val="00AD6938"/>
    <w:rsid w:val="00AD6D77"/>
    <w:rsid w:val="00AD7079"/>
    <w:rsid w:val="00AD7099"/>
    <w:rsid w:val="00AD71A5"/>
    <w:rsid w:val="00AD7499"/>
    <w:rsid w:val="00AD7BAA"/>
    <w:rsid w:val="00AD7F26"/>
    <w:rsid w:val="00AE03DC"/>
    <w:rsid w:val="00AE0495"/>
    <w:rsid w:val="00AE0710"/>
    <w:rsid w:val="00AE07C7"/>
    <w:rsid w:val="00AE08A0"/>
    <w:rsid w:val="00AE0B51"/>
    <w:rsid w:val="00AE11BB"/>
    <w:rsid w:val="00AE17F3"/>
    <w:rsid w:val="00AE2A8F"/>
    <w:rsid w:val="00AE2B27"/>
    <w:rsid w:val="00AE2B58"/>
    <w:rsid w:val="00AE2CA5"/>
    <w:rsid w:val="00AE2CE8"/>
    <w:rsid w:val="00AE3165"/>
    <w:rsid w:val="00AE339D"/>
    <w:rsid w:val="00AE3E53"/>
    <w:rsid w:val="00AE4013"/>
    <w:rsid w:val="00AE47AF"/>
    <w:rsid w:val="00AE4F0C"/>
    <w:rsid w:val="00AE632F"/>
    <w:rsid w:val="00AE64E0"/>
    <w:rsid w:val="00AE682E"/>
    <w:rsid w:val="00AE74E7"/>
    <w:rsid w:val="00AE7F8C"/>
    <w:rsid w:val="00AF01C7"/>
    <w:rsid w:val="00AF0253"/>
    <w:rsid w:val="00AF0319"/>
    <w:rsid w:val="00AF041E"/>
    <w:rsid w:val="00AF0FD1"/>
    <w:rsid w:val="00AF126C"/>
    <w:rsid w:val="00AF1B4B"/>
    <w:rsid w:val="00AF2055"/>
    <w:rsid w:val="00AF20AF"/>
    <w:rsid w:val="00AF2845"/>
    <w:rsid w:val="00AF2C7D"/>
    <w:rsid w:val="00AF325B"/>
    <w:rsid w:val="00AF3610"/>
    <w:rsid w:val="00AF3697"/>
    <w:rsid w:val="00AF40A2"/>
    <w:rsid w:val="00AF4953"/>
    <w:rsid w:val="00AF4E74"/>
    <w:rsid w:val="00AF56D2"/>
    <w:rsid w:val="00AF5F80"/>
    <w:rsid w:val="00AF61F9"/>
    <w:rsid w:val="00AF6A23"/>
    <w:rsid w:val="00AF6AE1"/>
    <w:rsid w:val="00AF6B64"/>
    <w:rsid w:val="00AF7915"/>
    <w:rsid w:val="00B0019A"/>
    <w:rsid w:val="00B0032C"/>
    <w:rsid w:val="00B00C76"/>
    <w:rsid w:val="00B00E29"/>
    <w:rsid w:val="00B02011"/>
    <w:rsid w:val="00B020CD"/>
    <w:rsid w:val="00B02485"/>
    <w:rsid w:val="00B02707"/>
    <w:rsid w:val="00B02BA4"/>
    <w:rsid w:val="00B02EEE"/>
    <w:rsid w:val="00B048BF"/>
    <w:rsid w:val="00B04974"/>
    <w:rsid w:val="00B04DFE"/>
    <w:rsid w:val="00B04F81"/>
    <w:rsid w:val="00B052BC"/>
    <w:rsid w:val="00B05ADF"/>
    <w:rsid w:val="00B06012"/>
    <w:rsid w:val="00B0633D"/>
    <w:rsid w:val="00B0688B"/>
    <w:rsid w:val="00B06C17"/>
    <w:rsid w:val="00B06F9E"/>
    <w:rsid w:val="00B07163"/>
    <w:rsid w:val="00B07AD6"/>
    <w:rsid w:val="00B07C56"/>
    <w:rsid w:val="00B10865"/>
    <w:rsid w:val="00B10977"/>
    <w:rsid w:val="00B10DDD"/>
    <w:rsid w:val="00B10E0E"/>
    <w:rsid w:val="00B10E4D"/>
    <w:rsid w:val="00B118D4"/>
    <w:rsid w:val="00B120F0"/>
    <w:rsid w:val="00B12981"/>
    <w:rsid w:val="00B14223"/>
    <w:rsid w:val="00B14EBD"/>
    <w:rsid w:val="00B163D1"/>
    <w:rsid w:val="00B16EE0"/>
    <w:rsid w:val="00B17808"/>
    <w:rsid w:val="00B17BD6"/>
    <w:rsid w:val="00B20CDD"/>
    <w:rsid w:val="00B20E0B"/>
    <w:rsid w:val="00B2119A"/>
    <w:rsid w:val="00B211B5"/>
    <w:rsid w:val="00B21776"/>
    <w:rsid w:val="00B21A92"/>
    <w:rsid w:val="00B21BB0"/>
    <w:rsid w:val="00B220AB"/>
    <w:rsid w:val="00B22D62"/>
    <w:rsid w:val="00B23361"/>
    <w:rsid w:val="00B241D3"/>
    <w:rsid w:val="00B25782"/>
    <w:rsid w:val="00B26681"/>
    <w:rsid w:val="00B26910"/>
    <w:rsid w:val="00B271DE"/>
    <w:rsid w:val="00B27953"/>
    <w:rsid w:val="00B27F7B"/>
    <w:rsid w:val="00B3004D"/>
    <w:rsid w:val="00B30BAA"/>
    <w:rsid w:val="00B313B2"/>
    <w:rsid w:val="00B3255A"/>
    <w:rsid w:val="00B32C21"/>
    <w:rsid w:val="00B3356F"/>
    <w:rsid w:val="00B33BCC"/>
    <w:rsid w:val="00B33ED4"/>
    <w:rsid w:val="00B34281"/>
    <w:rsid w:val="00B3466D"/>
    <w:rsid w:val="00B34A1C"/>
    <w:rsid w:val="00B34F61"/>
    <w:rsid w:val="00B356F2"/>
    <w:rsid w:val="00B35710"/>
    <w:rsid w:val="00B35999"/>
    <w:rsid w:val="00B35E31"/>
    <w:rsid w:val="00B36A09"/>
    <w:rsid w:val="00B36D9D"/>
    <w:rsid w:val="00B37DE4"/>
    <w:rsid w:val="00B40960"/>
    <w:rsid w:val="00B40BC1"/>
    <w:rsid w:val="00B40F2F"/>
    <w:rsid w:val="00B41157"/>
    <w:rsid w:val="00B4153C"/>
    <w:rsid w:val="00B4164A"/>
    <w:rsid w:val="00B41DDD"/>
    <w:rsid w:val="00B4271B"/>
    <w:rsid w:val="00B435C9"/>
    <w:rsid w:val="00B43810"/>
    <w:rsid w:val="00B43884"/>
    <w:rsid w:val="00B43D95"/>
    <w:rsid w:val="00B43FB4"/>
    <w:rsid w:val="00B44129"/>
    <w:rsid w:val="00B4456D"/>
    <w:rsid w:val="00B44F0A"/>
    <w:rsid w:val="00B451F1"/>
    <w:rsid w:val="00B45E81"/>
    <w:rsid w:val="00B45FDA"/>
    <w:rsid w:val="00B461A2"/>
    <w:rsid w:val="00B46202"/>
    <w:rsid w:val="00B474BF"/>
    <w:rsid w:val="00B47A81"/>
    <w:rsid w:val="00B47ECA"/>
    <w:rsid w:val="00B47F65"/>
    <w:rsid w:val="00B5038D"/>
    <w:rsid w:val="00B513B2"/>
    <w:rsid w:val="00B51E0D"/>
    <w:rsid w:val="00B52277"/>
    <w:rsid w:val="00B524D6"/>
    <w:rsid w:val="00B52F20"/>
    <w:rsid w:val="00B53320"/>
    <w:rsid w:val="00B53D6B"/>
    <w:rsid w:val="00B53E5E"/>
    <w:rsid w:val="00B53E8C"/>
    <w:rsid w:val="00B5478E"/>
    <w:rsid w:val="00B5478F"/>
    <w:rsid w:val="00B54DF3"/>
    <w:rsid w:val="00B55523"/>
    <w:rsid w:val="00B557FD"/>
    <w:rsid w:val="00B568A4"/>
    <w:rsid w:val="00B57535"/>
    <w:rsid w:val="00B57581"/>
    <w:rsid w:val="00B57814"/>
    <w:rsid w:val="00B600D7"/>
    <w:rsid w:val="00B60162"/>
    <w:rsid w:val="00B6073D"/>
    <w:rsid w:val="00B609D0"/>
    <w:rsid w:val="00B61C12"/>
    <w:rsid w:val="00B6240E"/>
    <w:rsid w:val="00B63722"/>
    <w:rsid w:val="00B63887"/>
    <w:rsid w:val="00B65104"/>
    <w:rsid w:val="00B65303"/>
    <w:rsid w:val="00B655DF"/>
    <w:rsid w:val="00B65B42"/>
    <w:rsid w:val="00B661CD"/>
    <w:rsid w:val="00B66226"/>
    <w:rsid w:val="00B6664B"/>
    <w:rsid w:val="00B67888"/>
    <w:rsid w:val="00B679B4"/>
    <w:rsid w:val="00B67F09"/>
    <w:rsid w:val="00B7035A"/>
    <w:rsid w:val="00B70627"/>
    <w:rsid w:val="00B7090A"/>
    <w:rsid w:val="00B70C2E"/>
    <w:rsid w:val="00B719B2"/>
    <w:rsid w:val="00B729C6"/>
    <w:rsid w:val="00B72D70"/>
    <w:rsid w:val="00B7300E"/>
    <w:rsid w:val="00B738AB"/>
    <w:rsid w:val="00B739D6"/>
    <w:rsid w:val="00B73C72"/>
    <w:rsid w:val="00B747AB"/>
    <w:rsid w:val="00B74842"/>
    <w:rsid w:val="00B75C91"/>
    <w:rsid w:val="00B75CA1"/>
    <w:rsid w:val="00B75EAE"/>
    <w:rsid w:val="00B765E9"/>
    <w:rsid w:val="00B7690C"/>
    <w:rsid w:val="00B76AB9"/>
    <w:rsid w:val="00B775D4"/>
    <w:rsid w:val="00B7783F"/>
    <w:rsid w:val="00B77EF2"/>
    <w:rsid w:val="00B817BB"/>
    <w:rsid w:val="00B82351"/>
    <w:rsid w:val="00B82805"/>
    <w:rsid w:val="00B83698"/>
    <w:rsid w:val="00B84A43"/>
    <w:rsid w:val="00B85A03"/>
    <w:rsid w:val="00B861C9"/>
    <w:rsid w:val="00B87121"/>
    <w:rsid w:val="00B878A8"/>
    <w:rsid w:val="00B900D7"/>
    <w:rsid w:val="00B906EC"/>
    <w:rsid w:val="00B909AB"/>
    <w:rsid w:val="00B916F2"/>
    <w:rsid w:val="00B9173D"/>
    <w:rsid w:val="00B917E7"/>
    <w:rsid w:val="00B919AA"/>
    <w:rsid w:val="00B921F1"/>
    <w:rsid w:val="00B92611"/>
    <w:rsid w:val="00B92CDE"/>
    <w:rsid w:val="00B932BD"/>
    <w:rsid w:val="00B9399F"/>
    <w:rsid w:val="00B9406C"/>
    <w:rsid w:val="00B94187"/>
    <w:rsid w:val="00B946AD"/>
    <w:rsid w:val="00B946DA"/>
    <w:rsid w:val="00B9482B"/>
    <w:rsid w:val="00B9502C"/>
    <w:rsid w:val="00B95122"/>
    <w:rsid w:val="00B95359"/>
    <w:rsid w:val="00B95C6F"/>
    <w:rsid w:val="00B95C87"/>
    <w:rsid w:val="00B961E6"/>
    <w:rsid w:val="00B96C79"/>
    <w:rsid w:val="00B97653"/>
    <w:rsid w:val="00BA0134"/>
    <w:rsid w:val="00BA0670"/>
    <w:rsid w:val="00BA137A"/>
    <w:rsid w:val="00BA287A"/>
    <w:rsid w:val="00BA2ACB"/>
    <w:rsid w:val="00BA344A"/>
    <w:rsid w:val="00BA36E5"/>
    <w:rsid w:val="00BA40B5"/>
    <w:rsid w:val="00BA49A1"/>
    <w:rsid w:val="00BA4C58"/>
    <w:rsid w:val="00BA5679"/>
    <w:rsid w:val="00BA590C"/>
    <w:rsid w:val="00BA6554"/>
    <w:rsid w:val="00BA6981"/>
    <w:rsid w:val="00BA6B14"/>
    <w:rsid w:val="00BA77C1"/>
    <w:rsid w:val="00BA78C4"/>
    <w:rsid w:val="00BA7C83"/>
    <w:rsid w:val="00BA7F83"/>
    <w:rsid w:val="00BA7FB3"/>
    <w:rsid w:val="00BB0191"/>
    <w:rsid w:val="00BB088B"/>
    <w:rsid w:val="00BB09BC"/>
    <w:rsid w:val="00BB0C58"/>
    <w:rsid w:val="00BB19DC"/>
    <w:rsid w:val="00BB1BDD"/>
    <w:rsid w:val="00BB2374"/>
    <w:rsid w:val="00BB2503"/>
    <w:rsid w:val="00BB294B"/>
    <w:rsid w:val="00BB2BF6"/>
    <w:rsid w:val="00BB38D9"/>
    <w:rsid w:val="00BB3BAB"/>
    <w:rsid w:val="00BB3CB5"/>
    <w:rsid w:val="00BB3E07"/>
    <w:rsid w:val="00BB4392"/>
    <w:rsid w:val="00BB4420"/>
    <w:rsid w:val="00BB5BF7"/>
    <w:rsid w:val="00BB61B9"/>
    <w:rsid w:val="00BB6E7D"/>
    <w:rsid w:val="00BB7321"/>
    <w:rsid w:val="00BB732A"/>
    <w:rsid w:val="00BB7491"/>
    <w:rsid w:val="00BB77C2"/>
    <w:rsid w:val="00BB78B8"/>
    <w:rsid w:val="00BB78F5"/>
    <w:rsid w:val="00BB7FE5"/>
    <w:rsid w:val="00BC04BC"/>
    <w:rsid w:val="00BC0664"/>
    <w:rsid w:val="00BC08AC"/>
    <w:rsid w:val="00BC12D2"/>
    <w:rsid w:val="00BC1921"/>
    <w:rsid w:val="00BC1E50"/>
    <w:rsid w:val="00BC23EA"/>
    <w:rsid w:val="00BC2DFC"/>
    <w:rsid w:val="00BC30D4"/>
    <w:rsid w:val="00BC32A9"/>
    <w:rsid w:val="00BC3B0C"/>
    <w:rsid w:val="00BC3B7A"/>
    <w:rsid w:val="00BC3D79"/>
    <w:rsid w:val="00BC6134"/>
    <w:rsid w:val="00BC6B43"/>
    <w:rsid w:val="00BC7A5D"/>
    <w:rsid w:val="00BC7C57"/>
    <w:rsid w:val="00BD0369"/>
    <w:rsid w:val="00BD03C7"/>
    <w:rsid w:val="00BD0883"/>
    <w:rsid w:val="00BD14B9"/>
    <w:rsid w:val="00BD1677"/>
    <w:rsid w:val="00BD1AC4"/>
    <w:rsid w:val="00BD1DA3"/>
    <w:rsid w:val="00BD1DB8"/>
    <w:rsid w:val="00BD26B9"/>
    <w:rsid w:val="00BD293C"/>
    <w:rsid w:val="00BD2E92"/>
    <w:rsid w:val="00BD3689"/>
    <w:rsid w:val="00BD3A60"/>
    <w:rsid w:val="00BD40F5"/>
    <w:rsid w:val="00BD4371"/>
    <w:rsid w:val="00BD4552"/>
    <w:rsid w:val="00BD5444"/>
    <w:rsid w:val="00BD5F6F"/>
    <w:rsid w:val="00BD6024"/>
    <w:rsid w:val="00BD6227"/>
    <w:rsid w:val="00BD6720"/>
    <w:rsid w:val="00BD71C6"/>
    <w:rsid w:val="00BD7EA5"/>
    <w:rsid w:val="00BE053D"/>
    <w:rsid w:val="00BE055D"/>
    <w:rsid w:val="00BE05A8"/>
    <w:rsid w:val="00BE135E"/>
    <w:rsid w:val="00BE25B1"/>
    <w:rsid w:val="00BE27E3"/>
    <w:rsid w:val="00BE2D1E"/>
    <w:rsid w:val="00BE3056"/>
    <w:rsid w:val="00BE3DCA"/>
    <w:rsid w:val="00BE4C68"/>
    <w:rsid w:val="00BE5AF4"/>
    <w:rsid w:val="00BE5D4A"/>
    <w:rsid w:val="00BE6513"/>
    <w:rsid w:val="00BE659D"/>
    <w:rsid w:val="00BE6931"/>
    <w:rsid w:val="00BF0997"/>
    <w:rsid w:val="00BF0A36"/>
    <w:rsid w:val="00BF0EDD"/>
    <w:rsid w:val="00BF0F00"/>
    <w:rsid w:val="00BF0FB2"/>
    <w:rsid w:val="00BF1F33"/>
    <w:rsid w:val="00BF23DE"/>
    <w:rsid w:val="00BF2A1A"/>
    <w:rsid w:val="00BF2F4A"/>
    <w:rsid w:val="00BF3189"/>
    <w:rsid w:val="00BF3B1D"/>
    <w:rsid w:val="00BF4420"/>
    <w:rsid w:val="00BF4960"/>
    <w:rsid w:val="00BF50E3"/>
    <w:rsid w:val="00BF55C6"/>
    <w:rsid w:val="00BF6072"/>
    <w:rsid w:val="00BF6683"/>
    <w:rsid w:val="00BF6C3B"/>
    <w:rsid w:val="00BF6C42"/>
    <w:rsid w:val="00BF7919"/>
    <w:rsid w:val="00BF7CE2"/>
    <w:rsid w:val="00C0002D"/>
    <w:rsid w:val="00C006D2"/>
    <w:rsid w:val="00C00B26"/>
    <w:rsid w:val="00C00F14"/>
    <w:rsid w:val="00C01C10"/>
    <w:rsid w:val="00C01DD3"/>
    <w:rsid w:val="00C02208"/>
    <w:rsid w:val="00C02282"/>
    <w:rsid w:val="00C02833"/>
    <w:rsid w:val="00C02E6B"/>
    <w:rsid w:val="00C02FAB"/>
    <w:rsid w:val="00C03314"/>
    <w:rsid w:val="00C03599"/>
    <w:rsid w:val="00C0370C"/>
    <w:rsid w:val="00C03C3C"/>
    <w:rsid w:val="00C043E6"/>
    <w:rsid w:val="00C045A8"/>
    <w:rsid w:val="00C04B72"/>
    <w:rsid w:val="00C05FA0"/>
    <w:rsid w:val="00C06E8C"/>
    <w:rsid w:val="00C0798C"/>
    <w:rsid w:val="00C1045B"/>
    <w:rsid w:val="00C10961"/>
    <w:rsid w:val="00C10AA1"/>
    <w:rsid w:val="00C10B89"/>
    <w:rsid w:val="00C11BE2"/>
    <w:rsid w:val="00C126FF"/>
    <w:rsid w:val="00C12C3D"/>
    <w:rsid w:val="00C13180"/>
    <w:rsid w:val="00C139CB"/>
    <w:rsid w:val="00C13E36"/>
    <w:rsid w:val="00C14AE6"/>
    <w:rsid w:val="00C14F11"/>
    <w:rsid w:val="00C155EA"/>
    <w:rsid w:val="00C16592"/>
    <w:rsid w:val="00C166B2"/>
    <w:rsid w:val="00C166EB"/>
    <w:rsid w:val="00C175B0"/>
    <w:rsid w:val="00C17CC4"/>
    <w:rsid w:val="00C208B0"/>
    <w:rsid w:val="00C20992"/>
    <w:rsid w:val="00C20CC0"/>
    <w:rsid w:val="00C20F18"/>
    <w:rsid w:val="00C21522"/>
    <w:rsid w:val="00C21685"/>
    <w:rsid w:val="00C21687"/>
    <w:rsid w:val="00C219CC"/>
    <w:rsid w:val="00C22330"/>
    <w:rsid w:val="00C2233B"/>
    <w:rsid w:val="00C2264B"/>
    <w:rsid w:val="00C22BA8"/>
    <w:rsid w:val="00C233A6"/>
    <w:rsid w:val="00C2391B"/>
    <w:rsid w:val="00C2459A"/>
    <w:rsid w:val="00C24A88"/>
    <w:rsid w:val="00C2514E"/>
    <w:rsid w:val="00C2549F"/>
    <w:rsid w:val="00C2595E"/>
    <w:rsid w:val="00C25997"/>
    <w:rsid w:val="00C25D74"/>
    <w:rsid w:val="00C274E5"/>
    <w:rsid w:val="00C2785A"/>
    <w:rsid w:val="00C27D22"/>
    <w:rsid w:val="00C302D5"/>
    <w:rsid w:val="00C30564"/>
    <w:rsid w:val="00C30908"/>
    <w:rsid w:val="00C30911"/>
    <w:rsid w:val="00C3159A"/>
    <w:rsid w:val="00C31891"/>
    <w:rsid w:val="00C31E41"/>
    <w:rsid w:val="00C32052"/>
    <w:rsid w:val="00C320E9"/>
    <w:rsid w:val="00C32417"/>
    <w:rsid w:val="00C324FE"/>
    <w:rsid w:val="00C3281C"/>
    <w:rsid w:val="00C32BF5"/>
    <w:rsid w:val="00C32DF1"/>
    <w:rsid w:val="00C33086"/>
    <w:rsid w:val="00C330CF"/>
    <w:rsid w:val="00C34932"/>
    <w:rsid w:val="00C34B64"/>
    <w:rsid w:val="00C35628"/>
    <w:rsid w:val="00C357D0"/>
    <w:rsid w:val="00C35EDD"/>
    <w:rsid w:val="00C361EA"/>
    <w:rsid w:val="00C3622C"/>
    <w:rsid w:val="00C36DB5"/>
    <w:rsid w:val="00C377B5"/>
    <w:rsid w:val="00C4028C"/>
    <w:rsid w:val="00C408E1"/>
    <w:rsid w:val="00C41131"/>
    <w:rsid w:val="00C413DE"/>
    <w:rsid w:val="00C4290B"/>
    <w:rsid w:val="00C4298F"/>
    <w:rsid w:val="00C42A31"/>
    <w:rsid w:val="00C42CDC"/>
    <w:rsid w:val="00C435D8"/>
    <w:rsid w:val="00C436DE"/>
    <w:rsid w:val="00C4661C"/>
    <w:rsid w:val="00C46877"/>
    <w:rsid w:val="00C473AD"/>
    <w:rsid w:val="00C505A8"/>
    <w:rsid w:val="00C50C75"/>
    <w:rsid w:val="00C51773"/>
    <w:rsid w:val="00C51C04"/>
    <w:rsid w:val="00C52C76"/>
    <w:rsid w:val="00C52DBF"/>
    <w:rsid w:val="00C52FD3"/>
    <w:rsid w:val="00C54A31"/>
    <w:rsid w:val="00C54BCF"/>
    <w:rsid w:val="00C555AE"/>
    <w:rsid w:val="00C55B96"/>
    <w:rsid w:val="00C563F6"/>
    <w:rsid w:val="00C56938"/>
    <w:rsid w:val="00C56A74"/>
    <w:rsid w:val="00C56DC6"/>
    <w:rsid w:val="00C57911"/>
    <w:rsid w:val="00C57983"/>
    <w:rsid w:val="00C57D7D"/>
    <w:rsid w:val="00C61930"/>
    <w:rsid w:val="00C61DA8"/>
    <w:rsid w:val="00C62467"/>
    <w:rsid w:val="00C6330D"/>
    <w:rsid w:val="00C638E2"/>
    <w:rsid w:val="00C63C20"/>
    <w:rsid w:val="00C63C55"/>
    <w:rsid w:val="00C649C4"/>
    <w:rsid w:val="00C6515D"/>
    <w:rsid w:val="00C65728"/>
    <w:rsid w:val="00C6657F"/>
    <w:rsid w:val="00C67389"/>
    <w:rsid w:val="00C673A1"/>
    <w:rsid w:val="00C674C3"/>
    <w:rsid w:val="00C710BA"/>
    <w:rsid w:val="00C71611"/>
    <w:rsid w:val="00C71696"/>
    <w:rsid w:val="00C71697"/>
    <w:rsid w:val="00C718CB"/>
    <w:rsid w:val="00C718E0"/>
    <w:rsid w:val="00C7194C"/>
    <w:rsid w:val="00C71F08"/>
    <w:rsid w:val="00C72AAA"/>
    <w:rsid w:val="00C72EF9"/>
    <w:rsid w:val="00C74137"/>
    <w:rsid w:val="00C74D3D"/>
    <w:rsid w:val="00C74F30"/>
    <w:rsid w:val="00C75B8B"/>
    <w:rsid w:val="00C76D54"/>
    <w:rsid w:val="00C77899"/>
    <w:rsid w:val="00C77D41"/>
    <w:rsid w:val="00C80405"/>
    <w:rsid w:val="00C80801"/>
    <w:rsid w:val="00C808D1"/>
    <w:rsid w:val="00C80B87"/>
    <w:rsid w:val="00C80E40"/>
    <w:rsid w:val="00C82096"/>
    <w:rsid w:val="00C82583"/>
    <w:rsid w:val="00C82683"/>
    <w:rsid w:val="00C82E24"/>
    <w:rsid w:val="00C82EB9"/>
    <w:rsid w:val="00C83AB6"/>
    <w:rsid w:val="00C83F08"/>
    <w:rsid w:val="00C84242"/>
    <w:rsid w:val="00C85027"/>
    <w:rsid w:val="00C851E3"/>
    <w:rsid w:val="00C8598B"/>
    <w:rsid w:val="00C85E2C"/>
    <w:rsid w:val="00C86479"/>
    <w:rsid w:val="00C86DB1"/>
    <w:rsid w:val="00C87A7E"/>
    <w:rsid w:val="00C87B7F"/>
    <w:rsid w:val="00C87ED0"/>
    <w:rsid w:val="00C87F03"/>
    <w:rsid w:val="00C87F27"/>
    <w:rsid w:val="00C9029C"/>
    <w:rsid w:val="00C90FD7"/>
    <w:rsid w:val="00C9199B"/>
    <w:rsid w:val="00C928F8"/>
    <w:rsid w:val="00C92A03"/>
    <w:rsid w:val="00C92B04"/>
    <w:rsid w:val="00C92F9C"/>
    <w:rsid w:val="00C92FFA"/>
    <w:rsid w:val="00C9319F"/>
    <w:rsid w:val="00C9330D"/>
    <w:rsid w:val="00C93672"/>
    <w:rsid w:val="00C936D4"/>
    <w:rsid w:val="00C93817"/>
    <w:rsid w:val="00C93871"/>
    <w:rsid w:val="00C9417A"/>
    <w:rsid w:val="00C94415"/>
    <w:rsid w:val="00C94499"/>
    <w:rsid w:val="00C9461F"/>
    <w:rsid w:val="00C9473E"/>
    <w:rsid w:val="00C9492D"/>
    <w:rsid w:val="00C94E08"/>
    <w:rsid w:val="00C95313"/>
    <w:rsid w:val="00C95322"/>
    <w:rsid w:val="00C95518"/>
    <w:rsid w:val="00C95883"/>
    <w:rsid w:val="00C95B92"/>
    <w:rsid w:val="00C9639F"/>
    <w:rsid w:val="00C96616"/>
    <w:rsid w:val="00C971EB"/>
    <w:rsid w:val="00C97362"/>
    <w:rsid w:val="00C973D8"/>
    <w:rsid w:val="00C97614"/>
    <w:rsid w:val="00C978FB"/>
    <w:rsid w:val="00C97DEA"/>
    <w:rsid w:val="00CA002B"/>
    <w:rsid w:val="00CA1207"/>
    <w:rsid w:val="00CA1A0D"/>
    <w:rsid w:val="00CA26C1"/>
    <w:rsid w:val="00CA28FB"/>
    <w:rsid w:val="00CA318A"/>
    <w:rsid w:val="00CA3F63"/>
    <w:rsid w:val="00CA3F94"/>
    <w:rsid w:val="00CA3FD7"/>
    <w:rsid w:val="00CA4510"/>
    <w:rsid w:val="00CA45AA"/>
    <w:rsid w:val="00CA4714"/>
    <w:rsid w:val="00CA4F55"/>
    <w:rsid w:val="00CA533A"/>
    <w:rsid w:val="00CA53F5"/>
    <w:rsid w:val="00CA5A77"/>
    <w:rsid w:val="00CA5DEF"/>
    <w:rsid w:val="00CA603D"/>
    <w:rsid w:val="00CA624F"/>
    <w:rsid w:val="00CA6375"/>
    <w:rsid w:val="00CA644F"/>
    <w:rsid w:val="00CA664D"/>
    <w:rsid w:val="00CA6A61"/>
    <w:rsid w:val="00CA6F15"/>
    <w:rsid w:val="00CA7C94"/>
    <w:rsid w:val="00CB0075"/>
    <w:rsid w:val="00CB0259"/>
    <w:rsid w:val="00CB08A9"/>
    <w:rsid w:val="00CB0AA4"/>
    <w:rsid w:val="00CB20A5"/>
    <w:rsid w:val="00CB248C"/>
    <w:rsid w:val="00CB2658"/>
    <w:rsid w:val="00CB32BC"/>
    <w:rsid w:val="00CB330D"/>
    <w:rsid w:val="00CB3535"/>
    <w:rsid w:val="00CB4A5C"/>
    <w:rsid w:val="00CB4F3B"/>
    <w:rsid w:val="00CB5530"/>
    <w:rsid w:val="00CB5E20"/>
    <w:rsid w:val="00CB63C1"/>
    <w:rsid w:val="00CB6A5E"/>
    <w:rsid w:val="00CB6C20"/>
    <w:rsid w:val="00CB7048"/>
    <w:rsid w:val="00CB7131"/>
    <w:rsid w:val="00CB72D8"/>
    <w:rsid w:val="00CB76E0"/>
    <w:rsid w:val="00CB77D2"/>
    <w:rsid w:val="00CB7865"/>
    <w:rsid w:val="00CB78D0"/>
    <w:rsid w:val="00CC0C88"/>
    <w:rsid w:val="00CC1286"/>
    <w:rsid w:val="00CC196A"/>
    <w:rsid w:val="00CC2868"/>
    <w:rsid w:val="00CC2948"/>
    <w:rsid w:val="00CC2FDC"/>
    <w:rsid w:val="00CC39AC"/>
    <w:rsid w:val="00CC4295"/>
    <w:rsid w:val="00CC4587"/>
    <w:rsid w:val="00CC47F2"/>
    <w:rsid w:val="00CC49FF"/>
    <w:rsid w:val="00CC56FD"/>
    <w:rsid w:val="00CC6498"/>
    <w:rsid w:val="00CC6929"/>
    <w:rsid w:val="00CC7438"/>
    <w:rsid w:val="00CC7EFC"/>
    <w:rsid w:val="00CD06C4"/>
    <w:rsid w:val="00CD09BB"/>
    <w:rsid w:val="00CD110C"/>
    <w:rsid w:val="00CD16A0"/>
    <w:rsid w:val="00CD2A65"/>
    <w:rsid w:val="00CD3A26"/>
    <w:rsid w:val="00CD3B80"/>
    <w:rsid w:val="00CD4614"/>
    <w:rsid w:val="00CD5143"/>
    <w:rsid w:val="00CD5878"/>
    <w:rsid w:val="00CD58F3"/>
    <w:rsid w:val="00CD5DA2"/>
    <w:rsid w:val="00CD60B3"/>
    <w:rsid w:val="00CD683D"/>
    <w:rsid w:val="00CD7225"/>
    <w:rsid w:val="00CD7478"/>
    <w:rsid w:val="00CD7CCC"/>
    <w:rsid w:val="00CE07B9"/>
    <w:rsid w:val="00CE0AA1"/>
    <w:rsid w:val="00CE0B25"/>
    <w:rsid w:val="00CE0F7D"/>
    <w:rsid w:val="00CE10FB"/>
    <w:rsid w:val="00CE130F"/>
    <w:rsid w:val="00CE17DD"/>
    <w:rsid w:val="00CE18AB"/>
    <w:rsid w:val="00CE2285"/>
    <w:rsid w:val="00CE2376"/>
    <w:rsid w:val="00CE237E"/>
    <w:rsid w:val="00CE2A22"/>
    <w:rsid w:val="00CE2C69"/>
    <w:rsid w:val="00CE444D"/>
    <w:rsid w:val="00CE46A2"/>
    <w:rsid w:val="00CE4D15"/>
    <w:rsid w:val="00CE4D40"/>
    <w:rsid w:val="00CE4DFA"/>
    <w:rsid w:val="00CE5F64"/>
    <w:rsid w:val="00CE5FFE"/>
    <w:rsid w:val="00CE7948"/>
    <w:rsid w:val="00CE7AF0"/>
    <w:rsid w:val="00CE7B1C"/>
    <w:rsid w:val="00CE7DCA"/>
    <w:rsid w:val="00CE7DCB"/>
    <w:rsid w:val="00CF05CC"/>
    <w:rsid w:val="00CF083A"/>
    <w:rsid w:val="00CF0B88"/>
    <w:rsid w:val="00CF0DB5"/>
    <w:rsid w:val="00CF1D71"/>
    <w:rsid w:val="00CF227A"/>
    <w:rsid w:val="00CF2B60"/>
    <w:rsid w:val="00CF349D"/>
    <w:rsid w:val="00CF3838"/>
    <w:rsid w:val="00CF4422"/>
    <w:rsid w:val="00CF4924"/>
    <w:rsid w:val="00CF499D"/>
    <w:rsid w:val="00CF4CC0"/>
    <w:rsid w:val="00CF4F6A"/>
    <w:rsid w:val="00CF4FD8"/>
    <w:rsid w:val="00CF559D"/>
    <w:rsid w:val="00CF59EA"/>
    <w:rsid w:val="00CF62DD"/>
    <w:rsid w:val="00CF6A11"/>
    <w:rsid w:val="00CF6A8E"/>
    <w:rsid w:val="00CF6BEA"/>
    <w:rsid w:val="00CF6F15"/>
    <w:rsid w:val="00CF7043"/>
    <w:rsid w:val="00D01491"/>
    <w:rsid w:val="00D02159"/>
    <w:rsid w:val="00D021C6"/>
    <w:rsid w:val="00D022A8"/>
    <w:rsid w:val="00D022CE"/>
    <w:rsid w:val="00D03666"/>
    <w:rsid w:val="00D04CC4"/>
    <w:rsid w:val="00D05162"/>
    <w:rsid w:val="00D05771"/>
    <w:rsid w:val="00D05AE4"/>
    <w:rsid w:val="00D05BEA"/>
    <w:rsid w:val="00D061C9"/>
    <w:rsid w:val="00D0698A"/>
    <w:rsid w:val="00D06AA2"/>
    <w:rsid w:val="00D06DEA"/>
    <w:rsid w:val="00D07EB3"/>
    <w:rsid w:val="00D100A3"/>
    <w:rsid w:val="00D10251"/>
    <w:rsid w:val="00D10E5F"/>
    <w:rsid w:val="00D11257"/>
    <w:rsid w:val="00D112C8"/>
    <w:rsid w:val="00D1158D"/>
    <w:rsid w:val="00D11C43"/>
    <w:rsid w:val="00D121BD"/>
    <w:rsid w:val="00D12254"/>
    <w:rsid w:val="00D124EB"/>
    <w:rsid w:val="00D1254D"/>
    <w:rsid w:val="00D12720"/>
    <w:rsid w:val="00D12823"/>
    <w:rsid w:val="00D12A10"/>
    <w:rsid w:val="00D132B1"/>
    <w:rsid w:val="00D13D99"/>
    <w:rsid w:val="00D13E10"/>
    <w:rsid w:val="00D14417"/>
    <w:rsid w:val="00D1520D"/>
    <w:rsid w:val="00D153EA"/>
    <w:rsid w:val="00D15742"/>
    <w:rsid w:val="00D15769"/>
    <w:rsid w:val="00D15FBA"/>
    <w:rsid w:val="00D17325"/>
    <w:rsid w:val="00D17407"/>
    <w:rsid w:val="00D17754"/>
    <w:rsid w:val="00D179EE"/>
    <w:rsid w:val="00D17BEE"/>
    <w:rsid w:val="00D20169"/>
    <w:rsid w:val="00D20255"/>
    <w:rsid w:val="00D20BB4"/>
    <w:rsid w:val="00D2109B"/>
    <w:rsid w:val="00D21208"/>
    <w:rsid w:val="00D2128C"/>
    <w:rsid w:val="00D21BEF"/>
    <w:rsid w:val="00D221FA"/>
    <w:rsid w:val="00D22461"/>
    <w:rsid w:val="00D22869"/>
    <w:rsid w:val="00D22B45"/>
    <w:rsid w:val="00D24619"/>
    <w:rsid w:val="00D2466A"/>
    <w:rsid w:val="00D246F4"/>
    <w:rsid w:val="00D2474A"/>
    <w:rsid w:val="00D2618C"/>
    <w:rsid w:val="00D262BB"/>
    <w:rsid w:val="00D26373"/>
    <w:rsid w:val="00D2687D"/>
    <w:rsid w:val="00D27521"/>
    <w:rsid w:val="00D27609"/>
    <w:rsid w:val="00D278C6"/>
    <w:rsid w:val="00D27AB6"/>
    <w:rsid w:val="00D27C96"/>
    <w:rsid w:val="00D27DAE"/>
    <w:rsid w:val="00D27E69"/>
    <w:rsid w:val="00D27EAF"/>
    <w:rsid w:val="00D30C4C"/>
    <w:rsid w:val="00D312EC"/>
    <w:rsid w:val="00D31553"/>
    <w:rsid w:val="00D3161C"/>
    <w:rsid w:val="00D322B8"/>
    <w:rsid w:val="00D328F9"/>
    <w:rsid w:val="00D329D0"/>
    <w:rsid w:val="00D32F22"/>
    <w:rsid w:val="00D340B3"/>
    <w:rsid w:val="00D34AD4"/>
    <w:rsid w:val="00D34E47"/>
    <w:rsid w:val="00D3521E"/>
    <w:rsid w:val="00D3559C"/>
    <w:rsid w:val="00D356A8"/>
    <w:rsid w:val="00D35B69"/>
    <w:rsid w:val="00D35DE5"/>
    <w:rsid w:val="00D35EA2"/>
    <w:rsid w:val="00D36817"/>
    <w:rsid w:val="00D36A46"/>
    <w:rsid w:val="00D36C6B"/>
    <w:rsid w:val="00D371F1"/>
    <w:rsid w:val="00D3720D"/>
    <w:rsid w:val="00D37774"/>
    <w:rsid w:val="00D3797C"/>
    <w:rsid w:val="00D40AAF"/>
    <w:rsid w:val="00D41243"/>
    <w:rsid w:val="00D41CFD"/>
    <w:rsid w:val="00D42266"/>
    <w:rsid w:val="00D42739"/>
    <w:rsid w:val="00D42AC5"/>
    <w:rsid w:val="00D42E6C"/>
    <w:rsid w:val="00D432AB"/>
    <w:rsid w:val="00D442DE"/>
    <w:rsid w:val="00D44ECA"/>
    <w:rsid w:val="00D4502B"/>
    <w:rsid w:val="00D45922"/>
    <w:rsid w:val="00D45E00"/>
    <w:rsid w:val="00D46265"/>
    <w:rsid w:val="00D468A8"/>
    <w:rsid w:val="00D46A6E"/>
    <w:rsid w:val="00D46AA9"/>
    <w:rsid w:val="00D47BDC"/>
    <w:rsid w:val="00D47BF1"/>
    <w:rsid w:val="00D50CC2"/>
    <w:rsid w:val="00D50E05"/>
    <w:rsid w:val="00D52398"/>
    <w:rsid w:val="00D52502"/>
    <w:rsid w:val="00D526B0"/>
    <w:rsid w:val="00D528DA"/>
    <w:rsid w:val="00D52902"/>
    <w:rsid w:val="00D52A71"/>
    <w:rsid w:val="00D53A9D"/>
    <w:rsid w:val="00D548C1"/>
    <w:rsid w:val="00D55248"/>
    <w:rsid w:val="00D55DAB"/>
    <w:rsid w:val="00D55F3F"/>
    <w:rsid w:val="00D563E5"/>
    <w:rsid w:val="00D56486"/>
    <w:rsid w:val="00D56FA3"/>
    <w:rsid w:val="00D5710C"/>
    <w:rsid w:val="00D576AA"/>
    <w:rsid w:val="00D60043"/>
    <w:rsid w:val="00D6020D"/>
    <w:rsid w:val="00D608BA"/>
    <w:rsid w:val="00D614A5"/>
    <w:rsid w:val="00D62651"/>
    <w:rsid w:val="00D63887"/>
    <w:rsid w:val="00D6435A"/>
    <w:rsid w:val="00D6437B"/>
    <w:rsid w:val="00D644DE"/>
    <w:rsid w:val="00D6554E"/>
    <w:rsid w:val="00D657FA"/>
    <w:rsid w:val="00D65E12"/>
    <w:rsid w:val="00D665D2"/>
    <w:rsid w:val="00D66D95"/>
    <w:rsid w:val="00D66DCE"/>
    <w:rsid w:val="00D67058"/>
    <w:rsid w:val="00D6737F"/>
    <w:rsid w:val="00D70309"/>
    <w:rsid w:val="00D71256"/>
    <w:rsid w:val="00D718B1"/>
    <w:rsid w:val="00D71C34"/>
    <w:rsid w:val="00D71DA6"/>
    <w:rsid w:val="00D72158"/>
    <w:rsid w:val="00D724A6"/>
    <w:rsid w:val="00D727DD"/>
    <w:rsid w:val="00D727ED"/>
    <w:rsid w:val="00D730FC"/>
    <w:rsid w:val="00D751B7"/>
    <w:rsid w:val="00D75F5D"/>
    <w:rsid w:val="00D76000"/>
    <w:rsid w:val="00D761E9"/>
    <w:rsid w:val="00D765B7"/>
    <w:rsid w:val="00D77B68"/>
    <w:rsid w:val="00D77EBA"/>
    <w:rsid w:val="00D80C9A"/>
    <w:rsid w:val="00D818A8"/>
    <w:rsid w:val="00D820CF"/>
    <w:rsid w:val="00D8219B"/>
    <w:rsid w:val="00D824E9"/>
    <w:rsid w:val="00D828FC"/>
    <w:rsid w:val="00D8393C"/>
    <w:rsid w:val="00D83A63"/>
    <w:rsid w:val="00D83C19"/>
    <w:rsid w:val="00D84624"/>
    <w:rsid w:val="00D848F4"/>
    <w:rsid w:val="00D84B75"/>
    <w:rsid w:val="00D84EB3"/>
    <w:rsid w:val="00D84EE0"/>
    <w:rsid w:val="00D857B3"/>
    <w:rsid w:val="00D8595B"/>
    <w:rsid w:val="00D85A98"/>
    <w:rsid w:val="00D85CD2"/>
    <w:rsid w:val="00D85DEE"/>
    <w:rsid w:val="00D86478"/>
    <w:rsid w:val="00D86737"/>
    <w:rsid w:val="00D86741"/>
    <w:rsid w:val="00D868F9"/>
    <w:rsid w:val="00D871FD"/>
    <w:rsid w:val="00D87259"/>
    <w:rsid w:val="00D87386"/>
    <w:rsid w:val="00D8739F"/>
    <w:rsid w:val="00D8799E"/>
    <w:rsid w:val="00D87F8B"/>
    <w:rsid w:val="00D9131C"/>
    <w:rsid w:val="00D91404"/>
    <w:rsid w:val="00D91B14"/>
    <w:rsid w:val="00D91E70"/>
    <w:rsid w:val="00D91FD3"/>
    <w:rsid w:val="00D92464"/>
    <w:rsid w:val="00D9248A"/>
    <w:rsid w:val="00D9259F"/>
    <w:rsid w:val="00D93C80"/>
    <w:rsid w:val="00D93CF6"/>
    <w:rsid w:val="00D947C2"/>
    <w:rsid w:val="00D94A97"/>
    <w:rsid w:val="00D955E8"/>
    <w:rsid w:val="00D96062"/>
    <w:rsid w:val="00D97F04"/>
    <w:rsid w:val="00DA054B"/>
    <w:rsid w:val="00DA159A"/>
    <w:rsid w:val="00DA1F7E"/>
    <w:rsid w:val="00DA2A12"/>
    <w:rsid w:val="00DA3408"/>
    <w:rsid w:val="00DA3A1D"/>
    <w:rsid w:val="00DA4BD2"/>
    <w:rsid w:val="00DA4D42"/>
    <w:rsid w:val="00DA5087"/>
    <w:rsid w:val="00DA52F9"/>
    <w:rsid w:val="00DA5398"/>
    <w:rsid w:val="00DA5722"/>
    <w:rsid w:val="00DA5AAF"/>
    <w:rsid w:val="00DA5F70"/>
    <w:rsid w:val="00DA639F"/>
    <w:rsid w:val="00DA68C5"/>
    <w:rsid w:val="00DA6A50"/>
    <w:rsid w:val="00DA6BE1"/>
    <w:rsid w:val="00DA76C7"/>
    <w:rsid w:val="00DA7907"/>
    <w:rsid w:val="00DA7AFE"/>
    <w:rsid w:val="00DA7C06"/>
    <w:rsid w:val="00DA7E47"/>
    <w:rsid w:val="00DB0DDB"/>
    <w:rsid w:val="00DB1234"/>
    <w:rsid w:val="00DB1245"/>
    <w:rsid w:val="00DB12CC"/>
    <w:rsid w:val="00DB2CF2"/>
    <w:rsid w:val="00DB2FC3"/>
    <w:rsid w:val="00DB3568"/>
    <w:rsid w:val="00DB38EC"/>
    <w:rsid w:val="00DB4936"/>
    <w:rsid w:val="00DB4ECE"/>
    <w:rsid w:val="00DB4F13"/>
    <w:rsid w:val="00DB5D0C"/>
    <w:rsid w:val="00DB5D4E"/>
    <w:rsid w:val="00DB5DBF"/>
    <w:rsid w:val="00DB5DE6"/>
    <w:rsid w:val="00DB5EE7"/>
    <w:rsid w:val="00DB6040"/>
    <w:rsid w:val="00DB623F"/>
    <w:rsid w:val="00DB644C"/>
    <w:rsid w:val="00DB66BE"/>
    <w:rsid w:val="00DB6CE1"/>
    <w:rsid w:val="00DB7144"/>
    <w:rsid w:val="00DB76C2"/>
    <w:rsid w:val="00DC07FA"/>
    <w:rsid w:val="00DC0C83"/>
    <w:rsid w:val="00DC136F"/>
    <w:rsid w:val="00DC15F0"/>
    <w:rsid w:val="00DC16B9"/>
    <w:rsid w:val="00DC1DE3"/>
    <w:rsid w:val="00DC2040"/>
    <w:rsid w:val="00DC21FB"/>
    <w:rsid w:val="00DC246C"/>
    <w:rsid w:val="00DC271A"/>
    <w:rsid w:val="00DC27B4"/>
    <w:rsid w:val="00DC2A20"/>
    <w:rsid w:val="00DC3239"/>
    <w:rsid w:val="00DC3593"/>
    <w:rsid w:val="00DC3C64"/>
    <w:rsid w:val="00DC3DFC"/>
    <w:rsid w:val="00DC46D5"/>
    <w:rsid w:val="00DC47F1"/>
    <w:rsid w:val="00DC4C65"/>
    <w:rsid w:val="00DC5011"/>
    <w:rsid w:val="00DC6268"/>
    <w:rsid w:val="00DC6306"/>
    <w:rsid w:val="00DC6E45"/>
    <w:rsid w:val="00DC6E9F"/>
    <w:rsid w:val="00DC704C"/>
    <w:rsid w:val="00DC72B2"/>
    <w:rsid w:val="00DC73E1"/>
    <w:rsid w:val="00DC7E97"/>
    <w:rsid w:val="00DD00B5"/>
    <w:rsid w:val="00DD13D6"/>
    <w:rsid w:val="00DD2421"/>
    <w:rsid w:val="00DD2568"/>
    <w:rsid w:val="00DD27B5"/>
    <w:rsid w:val="00DD33D5"/>
    <w:rsid w:val="00DD3BDC"/>
    <w:rsid w:val="00DD62EB"/>
    <w:rsid w:val="00DD63FB"/>
    <w:rsid w:val="00DD64F5"/>
    <w:rsid w:val="00DD6904"/>
    <w:rsid w:val="00DD6ED3"/>
    <w:rsid w:val="00DD7D27"/>
    <w:rsid w:val="00DE05EA"/>
    <w:rsid w:val="00DE0E99"/>
    <w:rsid w:val="00DE193C"/>
    <w:rsid w:val="00DE213D"/>
    <w:rsid w:val="00DE2498"/>
    <w:rsid w:val="00DE3387"/>
    <w:rsid w:val="00DE3418"/>
    <w:rsid w:val="00DE3664"/>
    <w:rsid w:val="00DE3EA1"/>
    <w:rsid w:val="00DE52F0"/>
    <w:rsid w:val="00DE6C29"/>
    <w:rsid w:val="00DE7762"/>
    <w:rsid w:val="00DE7D4C"/>
    <w:rsid w:val="00DE7ECE"/>
    <w:rsid w:val="00DE7FE6"/>
    <w:rsid w:val="00DF01EF"/>
    <w:rsid w:val="00DF0285"/>
    <w:rsid w:val="00DF0C9A"/>
    <w:rsid w:val="00DF0DF7"/>
    <w:rsid w:val="00DF0E6C"/>
    <w:rsid w:val="00DF1046"/>
    <w:rsid w:val="00DF1093"/>
    <w:rsid w:val="00DF13E4"/>
    <w:rsid w:val="00DF214B"/>
    <w:rsid w:val="00DF2C9F"/>
    <w:rsid w:val="00DF326D"/>
    <w:rsid w:val="00DF3448"/>
    <w:rsid w:val="00DF4998"/>
    <w:rsid w:val="00DF4AC7"/>
    <w:rsid w:val="00DF5CCF"/>
    <w:rsid w:val="00DF63D2"/>
    <w:rsid w:val="00DF654E"/>
    <w:rsid w:val="00DF6850"/>
    <w:rsid w:val="00E001E6"/>
    <w:rsid w:val="00E006F3"/>
    <w:rsid w:val="00E01B5E"/>
    <w:rsid w:val="00E01FB7"/>
    <w:rsid w:val="00E01FDB"/>
    <w:rsid w:val="00E023D0"/>
    <w:rsid w:val="00E02552"/>
    <w:rsid w:val="00E02597"/>
    <w:rsid w:val="00E02707"/>
    <w:rsid w:val="00E02787"/>
    <w:rsid w:val="00E027B7"/>
    <w:rsid w:val="00E02A5A"/>
    <w:rsid w:val="00E0311F"/>
    <w:rsid w:val="00E03609"/>
    <w:rsid w:val="00E03CA1"/>
    <w:rsid w:val="00E04AC9"/>
    <w:rsid w:val="00E04EE4"/>
    <w:rsid w:val="00E05C7E"/>
    <w:rsid w:val="00E06060"/>
    <w:rsid w:val="00E067D9"/>
    <w:rsid w:val="00E07404"/>
    <w:rsid w:val="00E07F32"/>
    <w:rsid w:val="00E07F97"/>
    <w:rsid w:val="00E10423"/>
    <w:rsid w:val="00E10F72"/>
    <w:rsid w:val="00E11436"/>
    <w:rsid w:val="00E12278"/>
    <w:rsid w:val="00E1234E"/>
    <w:rsid w:val="00E126B1"/>
    <w:rsid w:val="00E1294B"/>
    <w:rsid w:val="00E12A5C"/>
    <w:rsid w:val="00E12AC6"/>
    <w:rsid w:val="00E13225"/>
    <w:rsid w:val="00E13B4E"/>
    <w:rsid w:val="00E13EC5"/>
    <w:rsid w:val="00E13F68"/>
    <w:rsid w:val="00E144E7"/>
    <w:rsid w:val="00E145CB"/>
    <w:rsid w:val="00E147D2"/>
    <w:rsid w:val="00E15408"/>
    <w:rsid w:val="00E1546C"/>
    <w:rsid w:val="00E16411"/>
    <w:rsid w:val="00E168D2"/>
    <w:rsid w:val="00E16DD6"/>
    <w:rsid w:val="00E16E43"/>
    <w:rsid w:val="00E1767D"/>
    <w:rsid w:val="00E1781C"/>
    <w:rsid w:val="00E20643"/>
    <w:rsid w:val="00E20A52"/>
    <w:rsid w:val="00E20D33"/>
    <w:rsid w:val="00E20D4D"/>
    <w:rsid w:val="00E214FD"/>
    <w:rsid w:val="00E2188F"/>
    <w:rsid w:val="00E21BFB"/>
    <w:rsid w:val="00E2206E"/>
    <w:rsid w:val="00E22660"/>
    <w:rsid w:val="00E2333E"/>
    <w:rsid w:val="00E23B07"/>
    <w:rsid w:val="00E24246"/>
    <w:rsid w:val="00E24751"/>
    <w:rsid w:val="00E2486E"/>
    <w:rsid w:val="00E24992"/>
    <w:rsid w:val="00E249A8"/>
    <w:rsid w:val="00E249F1"/>
    <w:rsid w:val="00E24B9B"/>
    <w:rsid w:val="00E25E1B"/>
    <w:rsid w:val="00E27107"/>
    <w:rsid w:val="00E271B6"/>
    <w:rsid w:val="00E2741A"/>
    <w:rsid w:val="00E27462"/>
    <w:rsid w:val="00E2756A"/>
    <w:rsid w:val="00E2799F"/>
    <w:rsid w:val="00E27E69"/>
    <w:rsid w:val="00E3030C"/>
    <w:rsid w:val="00E30748"/>
    <w:rsid w:val="00E310A4"/>
    <w:rsid w:val="00E31147"/>
    <w:rsid w:val="00E32424"/>
    <w:rsid w:val="00E32498"/>
    <w:rsid w:val="00E325A8"/>
    <w:rsid w:val="00E32B35"/>
    <w:rsid w:val="00E3307C"/>
    <w:rsid w:val="00E33189"/>
    <w:rsid w:val="00E334A0"/>
    <w:rsid w:val="00E3470A"/>
    <w:rsid w:val="00E34CB1"/>
    <w:rsid w:val="00E35F3A"/>
    <w:rsid w:val="00E3625C"/>
    <w:rsid w:val="00E36816"/>
    <w:rsid w:val="00E375DA"/>
    <w:rsid w:val="00E40384"/>
    <w:rsid w:val="00E40404"/>
    <w:rsid w:val="00E40481"/>
    <w:rsid w:val="00E41471"/>
    <w:rsid w:val="00E416BA"/>
    <w:rsid w:val="00E41C13"/>
    <w:rsid w:val="00E42C80"/>
    <w:rsid w:val="00E435E6"/>
    <w:rsid w:val="00E43A49"/>
    <w:rsid w:val="00E43CC4"/>
    <w:rsid w:val="00E43F6A"/>
    <w:rsid w:val="00E44DD7"/>
    <w:rsid w:val="00E45DFC"/>
    <w:rsid w:val="00E45F76"/>
    <w:rsid w:val="00E46D55"/>
    <w:rsid w:val="00E47131"/>
    <w:rsid w:val="00E47DF7"/>
    <w:rsid w:val="00E47E08"/>
    <w:rsid w:val="00E47F8E"/>
    <w:rsid w:val="00E510C3"/>
    <w:rsid w:val="00E510EA"/>
    <w:rsid w:val="00E5124D"/>
    <w:rsid w:val="00E51670"/>
    <w:rsid w:val="00E520B0"/>
    <w:rsid w:val="00E52795"/>
    <w:rsid w:val="00E52A69"/>
    <w:rsid w:val="00E53489"/>
    <w:rsid w:val="00E5430E"/>
    <w:rsid w:val="00E54AA5"/>
    <w:rsid w:val="00E54AF4"/>
    <w:rsid w:val="00E55437"/>
    <w:rsid w:val="00E56DBA"/>
    <w:rsid w:val="00E5735D"/>
    <w:rsid w:val="00E573D5"/>
    <w:rsid w:val="00E57754"/>
    <w:rsid w:val="00E57EEF"/>
    <w:rsid w:val="00E60466"/>
    <w:rsid w:val="00E61AA4"/>
    <w:rsid w:val="00E62AD5"/>
    <w:rsid w:val="00E630AD"/>
    <w:rsid w:val="00E6316F"/>
    <w:rsid w:val="00E63DD1"/>
    <w:rsid w:val="00E64842"/>
    <w:rsid w:val="00E64ED4"/>
    <w:rsid w:val="00E65583"/>
    <w:rsid w:val="00E65C86"/>
    <w:rsid w:val="00E66731"/>
    <w:rsid w:val="00E6679F"/>
    <w:rsid w:val="00E66833"/>
    <w:rsid w:val="00E668A9"/>
    <w:rsid w:val="00E6735A"/>
    <w:rsid w:val="00E674A1"/>
    <w:rsid w:val="00E6773D"/>
    <w:rsid w:val="00E67790"/>
    <w:rsid w:val="00E70222"/>
    <w:rsid w:val="00E70769"/>
    <w:rsid w:val="00E70842"/>
    <w:rsid w:val="00E70AFE"/>
    <w:rsid w:val="00E71072"/>
    <w:rsid w:val="00E71895"/>
    <w:rsid w:val="00E718F9"/>
    <w:rsid w:val="00E71975"/>
    <w:rsid w:val="00E71C5C"/>
    <w:rsid w:val="00E726D1"/>
    <w:rsid w:val="00E7334D"/>
    <w:rsid w:val="00E735AC"/>
    <w:rsid w:val="00E73617"/>
    <w:rsid w:val="00E737B2"/>
    <w:rsid w:val="00E73C08"/>
    <w:rsid w:val="00E74604"/>
    <w:rsid w:val="00E748CF"/>
    <w:rsid w:val="00E7495F"/>
    <w:rsid w:val="00E74CC2"/>
    <w:rsid w:val="00E75315"/>
    <w:rsid w:val="00E75393"/>
    <w:rsid w:val="00E7550B"/>
    <w:rsid w:val="00E76624"/>
    <w:rsid w:val="00E76CD4"/>
    <w:rsid w:val="00E77694"/>
    <w:rsid w:val="00E807FA"/>
    <w:rsid w:val="00E80CC0"/>
    <w:rsid w:val="00E81006"/>
    <w:rsid w:val="00E81072"/>
    <w:rsid w:val="00E8118B"/>
    <w:rsid w:val="00E815C5"/>
    <w:rsid w:val="00E818B5"/>
    <w:rsid w:val="00E81AED"/>
    <w:rsid w:val="00E81F90"/>
    <w:rsid w:val="00E81FEA"/>
    <w:rsid w:val="00E82426"/>
    <w:rsid w:val="00E827BC"/>
    <w:rsid w:val="00E828E8"/>
    <w:rsid w:val="00E82D97"/>
    <w:rsid w:val="00E8368C"/>
    <w:rsid w:val="00E83B2E"/>
    <w:rsid w:val="00E85399"/>
    <w:rsid w:val="00E8590D"/>
    <w:rsid w:val="00E85A2A"/>
    <w:rsid w:val="00E85E6E"/>
    <w:rsid w:val="00E860CB"/>
    <w:rsid w:val="00E863B3"/>
    <w:rsid w:val="00E865A9"/>
    <w:rsid w:val="00E867FB"/>
    <w:rsid w:val="00E87D6C"/>
    <w:rsid w:val="00E9008A"/>
    <w:rsid w:val="00E900A5"/>
    <w:rsid w:val="00E902F1"/>
    <w:rsid w:val="00E907C0"/>
    <w:rsid w:val="00E91293"/>
    <w:rsid w:val="00E91778"/>
    <w:rsid w:val="00E91BE0"/>
    <w:rsid w:val="00E91C4E"/>
    <w:rsid w:val="00E9233A"/>
    <w:rsid w:val="00E929B9"/>
    <w:rsid w:val="00E92BC8"/>
    <w:rsid w:val="00E92CBB"/>
    <w:rsid w:val="00E93755"/>
    <w:rsid w:val="00E93858"/>
    <w:rsid w:val="00E93A63"/>
    <w:rsid w:val="00E93F75"/>
    <w:rsid w:val="00E93FCA"/>
    <w:rsid w:val="00E94D96"/>
    <w:rsid w:val="00E9551F"/>
    <w:rsid w:val="00E95D53"/>
    <w:rsid w:val="00E96202"/>
    <w:rsid w:val="00E966FF"/>
    <w:rsid w:val="00E968A1"/>
    <w:rsid w:val="00E972FC"/>
    <w:rsid w:val="00E9768A"/>
    <w:rsid w:val="00EA10F6"/>
    <w:rsid w:val="00EA15EE"/>
    <w:rsid w:val="00EA1838"/>
    <w:rsid w:val="00EA21D4"/>
    <w:rsid w:val="00EA28D6"/>
    <w:rsid w:val="00EA3077"/>
    <w:rsid w:val="00EA31CF"/>
    <w:rsid w:val="00EA34CF"/>
    <w:rsid w:val="00EA3606"/>
    <w:rsid w:val="00EA390F"/>
    <w:rsid w:val="00EA3F92"/>
    <w:rsid w:val="00EA44E4"/>
    <w:rsid w:val="00EA47C3"/>
    <w:rsid w:val="00EA4A5E"/>
    <w:rsid w:val="00EA5443"/>
    <w:rsid w:val="00EA54C8"/>
    <w:rsid w:val="00EA56CE"/>
    <w:rsid w:val="00EA5CEA"/>
    <w:rsid w:val="00EA5D94"/>
    <w:rsid w:val="00EA640C"/>
    <w:rsid w:val="00EA64F0"/>
    <w:rsid w:val="00EA6A75"/>
    <w:rsid w:val="00EA6F24"/>
    <w:rsid w:val="00EA7168"/>
    <w:rsid w:val="00EA778E"/>
    <w:rsid w:val="00EA79EC"/>
    <w:rsid w:val="00EA7A44"/>
    <w:rsid w:val="00EB05AD"/>
    <w:rsid w:val="00EB06BC"/>
    <w:rsid w:val="00EB0928"/>
    <w:rsid w:val="00EB1075"/>
    <w:rsid w:val="00EB1174"/>
    <w:rsid w:val="00EB1EA7"/>
    <w:rsid w:val="00EB2ABB"/>
    <w:rsid w:val="00EB33D2"/>
    <w:rsid w:val="00EB341E"/>
    <w:rsid w:val="00EB368A"/>
    <w:rsid w:val="00EB3EB6"/>
    <w:rsid w:val="00EB4A89"/>
    <w:rsid w:val="00EB4FE5"/>
    <w:rsid w:val="00EB54FB"/>
    <w:rsid w:val="00EB5A23"/>
    <w:rsid w:val="00EB5BE6"/>
    <w:rsid w:val="00EB5BEF"/>
    <w:rsid w:val="00EB6F96"/>
    <w:rsid w:val="00EB6FE7"/>
    <w:rsid w:val="00EB700E"/>
    <w:rsid w:val="00EB7831"/>
    <w:rsid w:val="00EC08EF"/>
    <w:rsid w:val="00EC0B73"/>
    <w:rsid w:val="00EC2761"/>
    <w:rsid w:val="00EC3849"/>
    <w:rsid w:val="00EC41E3"/>
    <w:rsid w:val="00EC442B"/>
    <w:rsid w:val="00EC51D5"/>
    <w:rsid w:val="00EC56FB"/>
    <w:rsid w:val="00EC5854"/>
    <w:rsid w:val="00EC7A28"/>
    <w:rsid w:val="00ED050A"/>
    <w:rsid w:val="00ED1203"/>
    <w:rsid w:val="00ED13F3"/>
    <w:rsid w:val="00ED1761"/>
    <w:rsid w:val="00ED1A26"/>
    <w:rsid w:val="00ED2011"/>
    <w:rsid w:val="00ED252D"/>
    <w:rsid w:val="00ED26D1"/>
    <w:rsid w:val="00ED3393"/>
    <w:rsid w:val="00ED3935"/>
    <w:rsid w:val="00ED3A6A"/>
    <w:rsid w:val="00ED3EBA"/>
    <w:rsid w:val="00ED424A"/>
    <w:rsid w:val="00ED42EA"/>
    <w:rsid w:val="00ED4985"/>
    <w:rsid w:val="00ED4A78"/>
    <w:rsid w:val="00ED4FB1"/>
    <w:rsid w:val="00ED570C"/>
    <w:rsid w:val="00ED68EC"/>
    <w:rsid w:val="00ED6E17"/>
    <w:rsid w:val="00ED73B1"/>
    <w:rsid w:val="00EE01A6"/>
    <w:rsid w:val="00EE036F"/>
    <w:rsid w:val="00EE0620"/>
    <w:rsid w:val="00EE0B0D"/>
    <w:rsid w:val="00EE165A"/>
    <w:rsid w:val="00EE1D9A"/>
    <w:rsid w:val="00EE31D5"/>
    <w:rsid w:val="00EE34B6"/>
    <w:rsid w:val="00EE34FA"/>
    <w:rsid w:val="00EE3871"/>
    <w:rsid w:val="00EE439F"/>
    <w:rsid w:val="00EE475D"/>
    <w:rsid w:val="00EE47D2"/>
    <w:rsid w:val="00EE4800"/>
    <w:rsid w:val="00EE4853"/>
    <w:rsid w:val="00EE4908"/>
    <w:rsid w:val="00EE4D75"/>
    <w:rsid w:val="00EE5A77"/>
    <w:rsid w:val="00EE6133"/>
    <w:rsid w:val="00EE6621"/>
    <w:rsid w:val="00EE6633"/>
    <w:rsid w:val="00EE6A47"/>
    <w:rsid w:val="00EE7F54"/>
    <w:rsid w:val="00EF0790"/>
    <w:rsid w:val="00EF1291"/>
    <w:rsid w:val="00EF18BA"/>
    <w:rsid w:val="00EF1DD2"/>
    <w:rsid w:val="00EF1F9E"/>
    <w:rsid w:val="00EF26C5"/>
    <w:rsid w:val="00EF31AF"/>
    <w:rsid w:val="00EF32B7"/>
    <w:rsid w:val="00EF33BD"/>
    <w:rsid w:val="00EF4ACB"/>
    <w:rsid w:val="00EF52E4"/>
    <w:rsid w:val="00EF544D"/>
    <w:rsid w:val="00EF5942"/>
    <w:rsid w:val="00EF598A"/>
    <w:rsid w:val="00EF599A"/>
    <w:rsid w:val="00EF5F1B"/>
    <w:rsid w:val="00EF5F82"/>
    <w:rsid w:val="00EF67FD"/>
    <w:rsid w:val="00EF6925"/>
    <w:rsid w:val="00EF69EA"/>
    <w:rsid w:val="00EF6A1A"/>
    <w:rsid w:val="00EF7027"/>
    <w:rsid w:val="00EF79C3"/>
    <w:rsid w:val="00EF7DB2"/>
    <w:rsid w:val="00EF7F15"/>
    <w:rsid w:val="00EF7FC4"/>
    <w:rsid w:val="00F002E4"/>
    <w:rsid w:val="00F00891"/>
    <w:rsid w:val="00F009BA"/>
    <w:rsid w:val="00F00B81"/>
    <w:rsid w:val="00F010BA"/>
    <w:rsid w:val="00F015D7"/>
    <w:rsid w:val="00F023A5"/>
    <w:rsid w:val="00F029EC"/>
    <w:rsid w:val="00F02D2B"/>
    <w:rsid w:val="00F036B3"/>
    <w:rsid w:val="00F03A8F"/>
    <w:rsid w:val="00F03F49"/>
    <w:rsid w:val="00F0403C"/>
    <w:rsid w:val="00F0417F"/>
    <w:rsid w:val="00F04A59"/>
    <w:rsid w:val="00F0561A"/>
    <w:rsid w:val="00F058C4"/>
    <w:rsid w:val="00F062DA"/>
    <w:rsid w:val="00F06BA6"/>
    <w:rsid w:val="00F077E1"/>
    <w:rsid w:val="00F07C53"/>
    <w:rsid w:val="00F07F72"/>
    <w:rsid w:val="00F10655"/>
    <w:rsid w:val="00F1123A"/>
    <w:rsid w:val="00F1161B"/>
    <w:rsid w:val="00F1187E"/>
    <w:rsid w:val="00F11B84"/>
    <w:rsid w:val="00F12608"/>
    <w:rsid w:val="00F126F2"/>
    <w:rsid w:val="00F12851"/>
    <w:rsid w:val="00F12859"/>
    <w:rsid w:val="00F131E2"/>
    <w:rsid w:val="00F140A7"/>
    <w:rsid w:val="00F1422F"/>
    <w:rsid w:val="00F1483B"/>
    <w:rsid w:val="00F15496"/>
    <w:rsid w:val="00F15DA7"/>
    <w:rsid w:val="00F16DDD"/>
    <w:rsid w:val="00F176FB"/>
    <w:rsid w:val="00F17747"/>
    <w:rsid w:val="00F200ED"/>
    <w:rsid w:val="00F207D4"/>
    <w:rsid w:val="00F2141E"/>
    <w:rsid w:val="00F21FBD"/>
    <w:rsid w:val="00F22257"/>
    <w:rsid w:val="00F22A81"/>
    <w:rsid w:val="00F230A8"/>
    <w:rsid w:val="00F230BA"/>
    <w:rsid w:val="00F23E37"/>
    <w:rsid w:val="00F2464F"/>
    <w:rsid w:val="00F24677"/>
    <w:rsid w:val="00F2620F"/>
    <w:rsid w:val="00F266BC"/>
    <w:rsid w:val="00F26FC5"/>
    <w:rsid w:val="00F27900"/>
    <w:rsid w:val="00F27979"/>
    <w:rsid w:val="00F2797F"/>
    <w:rsid w:val="00F27B56"/>
    <w:rsid w:val="00F27EE4"/>
    <w:rsid w:val="00F3005D"/>
    <w:rsid w:val="00F3044A"/>
    <w:rsid w:val="00F30543"/>
    <w:rsid w:val="00F30AC5"/>
    <w:rsid w:val="00F30D24"/>
    <w:rsid w:val="00F30D40"/>
    <w:rsid w:val="00F31795"/>
    <w:rsid w:val="00F31E45"/>
    <w:rsid w:val="00F3283C"/>
    <w:rsid w:val="00F32E61"/>
    <w:rsid w:val="00F331BC"/>
    <w:rsid w:val="00F334E0"/>
    <w:rsid w:val="00F33D1A"/>
    <w:rsid w:val="00F33F97"/>
    <w:rsid w:val="00F348B7"/>
    <w:rsid w:val="00F34B8F"/>
    <w:rsid w:val="00F3579A"/>
    <w:rsid w:val="00F35E3D"/>
    <w:rsid w:val="00F36039"/>
    <w:rsid w:val="00F36149"/>
    <w:rsid w:val="00F3656D"/>
    <w:rsid w:val="00F36952"/>
    <w:rsid w:val="00F36DE0"/>
    <w:rsid w:val="00F37071"/>
    <w:rsid w:val="00F372EC"/>
    <w:rsid w:val="00F374A1"/>
    <w:rsid w:val="00F374B4"/>
    <w:rsid w:val="00F3759E"/>
    <w:rsid w:val="00F40340"/>
    <w:rsid w:val="00F405AB"/>
    <w:rsid w:val="00F406CD"/>
    <w:rsid w:val="00F40B0A"/>
    <w:rsid w:val="00F40F54"/>
    <w:rsid w:val="00F4110D"/>
    <w:rsid w:val="00F41CE5"/>
    <w:rsid w:val="00F41D08"/>
    <w:rsid w:val="00F4222B"/>
    <w:rsid w:val="00F4253E"/>
    <w:rsid w:val="00F4267E"/>
    <w:rsid w:val="00F43405"/>
    <w:rsid w:val="00F43637"/>
    <w:rsid w:val="00F43819"/>
    <w:rsid w:val="00F43B86"/>
    <w:rsid w:val="00F44C98"/>
    <w:rsid w:val="00F44CBF"/>
    <w:rsid w:val="00F4530D"/>
    <w:rsid w:val="00F463D6"/>
    <w:rsid w:val="00F46C69"/>
    <w:rsid w:val="00F4712E"/>
    <w:rsid w:val="00F4774E"/>
    <w:rsid w:val="00F50FC4"/>
    <w:rsid w:val="00F5115D"/>
    <w:rsid w:val="00F51793"/>
    <w:rsid w:val="00F51DF5"/>
    <w:rsid w:val="00F5217B"/>
    <w:rsid w:val="00F52DD6"/>
    <w:rsid w:val="00F53BED"/>
    <w:rsid w:val="00F54109"/>
    <w:rsid w:val="00F545F6"/>
    <w:rsid w:val="00F54925"/>
    <w:rsid w:val="00F55221"/>
    <w:rsid w:val="00F555EF"/>
    <w:rsid w:val="00F56739"/>
    <w:rsid w:val="00F56956"/>
    <w:rsid w:val="00F569B7"/>
    <w:rsid w:val="00F56A74"/>
    <w:rsid w:val="00F5747D"/>
    <w:rsid w:val="00F5780B"/>
    <w:rsid w:val="00F57F9F"/>
    <w:rsid w:val="00F604F6"/>
    <w:rsid w:val="00F614F3"/>
    <w:rsid w:val="00F62DDB"/>
    <w:rsid w:val="00F630BB"/>
    <w:rsid w:val="00F63111"/>
    <w:rsid w:val="00F636D6"/>
    <w:rsid w:val="00F63C88"/>
    <w:rsid w:val="00F6521C"/>
    <w:rsid w:val="00F654AF"/>
    <w:rsid w:val="00F6559A"/>
    <w:rsid w:val="00F655C0"/>
    <w:rsid w:val="00F65AF6"/>
    <w:rsid w:val="00F65B3A"/>
    <w:rsid w:val="00F65F28"/>
    <w:rsid w:val="00F66369"/>
    <w:rsid w:val="00F667CD"/>
    <w:rsid w:val="00F66BB0"/>
    <w:rsid w:val="00F67619"/>
    <w:rsid w:val="00F67C57"/>
    <w:rsid w:val="00F67F63"/>
    <w:rsid w:val="00F67FB2"/>
    <w:rsid w:val="00F70223"/>
    <w:rsid w:val="00F70253"/>
    <w:rsid w:val="00F70C42"/>
    <w:rsid w:val="00F71672"/>
    <w:rsid w:val="00F71749"/>
    <w:rsid w:val="00F727A7"/>
    <w:rsid w:val="00F728FB"/>
    <w:rsid w:val="00F72BEB"/>
    <w:rsid w:val="00F73AEE"/>
    <w:rsid w:val="00F747D6"/>
    <w:rsid w:val="00F74F2C"/>
    <w:rsid w:val="00F75856"/>
    <w:rsid w:val="00F75E53"/>
    <w:rsid w:val="00F761A7"/>
    <w:rsid w:val="00F7656D"/>
    <w:rsid w:val="00F767ED"/>
    <w:rsid w:val="00F767F9"/>
    <w:rsid w:val="00F76AEB"/>
    <w:rsid w:val="00F76AEE"/>
    <w:rsid w:val="00F774AC"/>
    <w:rsid w:val="00F77D16"/>
    <w:rsid w:val="00F77D51"/>
    <w:rsid w:val="00F77E98"/>
    <w:rsid w:val="00F801B2"/>
    <w:rsid w:val="00F80F3E"/>
    <w:rsid w:val="00F81426"/>
    <w:rsid w:val="00F81C3B"/>
    <w:rsid w:val="00F81E5C"/>
    <w:rsid w:val="00F81ED4"/>
    <w:rsid w:val="00F82699"/>
    <w:rsid w:val="00F82B37"/>
    <w:rsid w:val="00F82D60"/>
    <w:rsid w:val="00F82EB2"/>
    <w:rsid w:val="00F84B55"/>
    <w:rsid w:val="00F8544D"/>
    <w:rsid w:val="00F85733"/>
    <w:rsid w:val="00F85B81"/>
    <w:rsid w:val="00F863D0"/>
    <w:rsid w:val="00F865B8"/>
    <w:rsid w:val="00F8660D"/>
    <w:rsid w:val="00F86E8B"/>
    <w:rsid w:val="00F86F56"/>
    <w:rsid w:val="00F87CF3"/>
    <w:rsid w:val="00F90302"/>
    <w:rsid w:val="00F90836"/>
    <w:rsid w:val="00F908F5"/>
    <w:rsid w:val="00F90A29"/>
    <w:rsid w:val="00F90AF4"/>
    <w:rsid w:val="00F90B98"/>
    <w:rsid w:val="00F90C11"/>
    <w:rsid w:val="00F90F6E"/>
    <w:rsid w:val="00F9114F"/>
    <w:rsid w:val="00F9145B"/>
    <w:rsid w:val="00F91621"/>
    <w:rsid w:val="00F91BBD"/>
    <w:rsid w:val="00F92271"/>
    <w:rsid w:val="00F92562"/>
    <w:rsid w:val="00F925EB"/>
    <w:rsid w:val="00F926CF"/>
    <w:rsid w:val="00F926D6"/>
    <w:rsid w:val="00F9276E"/>
    <w:rsid w:val="00F92887"/>
    <w:rsid w:val="00F92F4B"/>
    <w:rsid w:val="00F93C3C"/>
    <w:rsid w:val="00F941A3"/>
    <w:rsid w:val="00F94773"/>
    <w:rsid w:val="00F9498A"/>
    <w:rsid w:val="00F94FC2"/>
    <w:rsid w:val="00F952B4"/>
    <w:rsid w:val="00F95AB8"/>
    <w:rsid w:val="00F95E87"/>
    <w:rsid w:val="00F964B4"/>
    <w:rsid w:val="00F96775"/>
    <w:rsid w:val="00F96A51"/>
    <w:rsid w:val="00F96A85"/>
    <w:rsid w:val="00F97AB5"/>
    <w:rsid w:val="00F97B9A"/>
    <w:rsid w:val="00F97BFB"/>
    <w:rsid w:val="00F97DE6"/>
    <w:rsid w:val="00FA0882"/>
    <w:rsid w:val="00FA157E"/>
    <w:rsid w:val="00FA231E"/>
    <w:rsid w:val="00FA34B1"/>
    <w:rsid w:val="00FA371B"/>
    <w:rsid w:val="00FA44C4"/>
    <w:rsid w:val="00FA48EC"/>
    <w:rsid w:val="00FA4B0C"/>
    <w:rsid w:val="00FA4F53"/>
    <w:rsid w:val="00FA4FC3"/>
    <w:rsid w:val="00FA5368"/>
    <w:rsid w:val="00FA54E9"/>
    <w:rsid w:val="00FA55D8"/>
    <w:rsid w:val="00FA59DE"/>
    <w:rsid w:val="00FA6167"/>
    <w:rsid w:val="00FA61D0"/>
    <w:rsid w:val="00FA66E8"/>
    <w:rsid w:val="00FA6C45"/>
    <w:rsid w:val="00FA6D97"/>
    <w:rsid w:val="00FA77A2"/>
    <w:rsid w:val="00FA7DEA"/>
    <w:rsid w:val="00FA7FD1"/>
    <w:rsid w:val="00FB044D"/>
    <w:rsid w:val="00FB19C5"/>
    <w:rsid w:val="00FB2821"/>
    <w:rsid w:val="00FB343F"/>
    <w:rsid w:val="00FB3501"/>
    <w:rsid w:val="00FB36A4"/>
    <w:rsid w:val="00FB38F6"/>
    <w:rsid w:val="00FB425C"/>
    <w:rsid w:val="00FB432E"/>
    <w:rsid w:val="00FB49CA"/>
    <w:rsid w:val="00FB4A77"/>
    <w:rsid w:val="00FB4AF2"/>
    <w:rsid w:val="00FB63A9"/>
    <w:rsid w:val="00FB63B8"/>
    <w:rsid w:val="00FB66EE"/>
    <w:rsid w:val="00FB6AB0"/>
    <w:rsid w:val="00FB7691"/>
    <w:rsid w:val="00FC0A75"/>
    <w:rsid w:val="00FC0BDF"/>
    <w:rsid w:val="00FC162B"/>
    <w:rsid w:val="00FC2E0C"/>
    <w:rsid w:val="00FC33B9"/>
    <w:rsid w:val="00FC3CC8"/>
    <w:rsid w:val="00FC407B"/>
    <w:rsid w:val="00FC44FF"/>
    <w:rsid w:val="00FC4B3E"/>
    <w:rsid w:val="00FC514F"/>
    <w:rsid w:val="00FC56D5"/>
    <w:rsid w:val="00FC57A3"/>
    <w:rsid w:val="00FC5A2C"/>
    <w:rsid w:val="00FC688D"/>
    <w:rsid w:val="00FC6BA0"/>
    <w:rsid w:val="00FC6E3D"/>
    <w:rsid w:val="00FC7130"/>
    <w:rsid w:val="00FC7568"/>
    <w:rsid w:val="00FC766B"/>
    <w:rsid w:val="00FC789D"/>
    <w:rsid w:val="00FC7941"/>
    <w:rsid w:val="00FC7CC5"/>
    <w:rsid w:val="00FC7DCD"/>
    <w:rsid w:val="00FD04C5"/>
    <w:rsid w:val="00FD0822"/>
    <w:rsid w:val="00FD1062"/>
    <w:rsid w:val="00FD17C4"/>
    <w:rsid w:val="00FD1863"/>
    <w:rsid w:val="00FD1D81"/>
    <w:rsid w:val="00FD1EBB"/>
    <w:rsid w:val="00FD3481"/>
    <w:rsid w:val="00FD387D"/>
    <w:rsid w:val="00FD3996"/>
    <w:rsid w:val="00FD3E8B"/>
    <w:rsid w:val="00FD4E7E"/>
    <w:rsid w:val="00FD519E"/>
    <w:rsid w:val="00FD5BFD"/>
    <w:rsid w:val="00FD613A"/>
    <w:rsid w:val="00FD785F"/>
    <w:rsid w:val="00FD7D45"/>
    <w:rsid w:val="00FE05D7"/>
    <w:rsid w:val="00FE0C33"/>
    <w:rsid w:val="00FE1138"/>
    <w:rsid w:val="00FE158D"/>
    <w:rsid w:val="00FE1AC7"/>
    <w:rsid w:val="00FE24CD"/>
    <w:rsid w:val="00FE25B2"/>
    <w:rsid w:val="00FE264F"/>
    <w:rsid w:val="00FE2ABE"/>
    <w:rsid w:val="00FE2F39"/>
    <w:rsid w:val="00FE3CAA"/>
    <w:rsid w:val="00FE3CAC"/>
    <w:rsid w:val="00FE3CCF"/>
    <w:rsid w:val="00FE4E2B"/>
    <w:rsid w:val="00FE5072"/>
    <w:rsid w:val="00FE5814"/>
    <w:rsid w:val="00FE6009"/>
    <w:rsid w:val="00FE6B85"/>
    <w:rsid w:val="00FE6FC6"/>
    <w:rsid w:val="00FE710D"/>
    <w:rsid w:val="00FE7723"/>
    <w:rsid w:val="00FE7B09"/>
    <w:rsid w:val="00FF0040"/>
    <w:rsid w:val="00FF124F"/>
    <w:rsid w:val="00FF1485"/>
    <w:rsid w:val="00FF153A"/>
    <w:rsid w:val="00FF1B53"/>
    <w:rsid w:val="00FF1E32"/>
    <w:rsid w:val="00FF26D4"/>
    <w:rsid w:val="00FF2E70"/>
    <w:rsid w:val="00FF3D79"/>
    <w:rsid w:val="00FF4355"/>
    <w:rsid w:val="00FF477F"/>
    <w:rsid w:val="00FF4D78"/>
    <w:rsid w:val="00FF54A8"/>
    <w:rsid w:val="00FF57F7"/>
    <w:rsid w:val="00FF589D"/>
    <w:rsid w:val="00FF5DD8"/>
    <w:rsid w:val="00FF603D"/>
    <w:rsid w:val="00FF7498"/>
    <w:rsid w:val="00FF76EC"/>
    <w:rsid w:val="00FF7765"/>
    <w:rsid w:val="00FF7791"/>
    <w:rsid w:val="00FF77DB"/>
    <w:rsid w:val="00FF7852"/>
    <w:rsid w:val="00FF7F50"/>
    <w:rsid w:val="01070355"/>
    <w:rsid w:val="0C34504B"/>
    <w:rsid w:val="0D986DC5"/>
    <w:rsid w:val="55B21123"/>
    <w:rsid w:val="70AB61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iPriority="99" w:semiHidden="0"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semiHidden="0" w:name="caption"/>
    <w:lsdException w:qFormat="1" w:uiPriority="99" w:semiHidden="0"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iPriority="99"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qFormat="1"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qFormat="1"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31"/>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32"/>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59"/>
    <w:unhideWhenUsed/>
    <w:qFormat/>
    <w:uiPriority w:val="9"/>
    <w:pPr>
      <w:keepNext/>
      <w:keepLines/>
      <w:spacing w:before="260" w:after="260" w:line="416" w:lineRule="auto"/>
      <w:outlineLvl w:val="2"/>
    </w:pPr>
    <w:rPr>
      <w:b/>
      <w:bCs/>
      <w:sz w:val="32"/>
      <w:szCs w:val="32"/>
    </w:rPr>
  </w:style>
  <w:style w:type="character" w:default="1" w:styleId="24">
    <w:name w:val="Default Paragraph Font"/>
    <w:semiHidden/>
    <w:unhideWhenUsed/>
    <w:qFormat/>
    <w:uiPriority w:val="1"/>
  </w:style>
  <w:style w:type="table" w:default="1" w:styleId="20">
    <w:name w:val="Normal Table"/>
    <w:semiHidden/>
    <w:unhideWhenUsed/>
    <w:uiPriority w:val="99"/>
    <w:tblPr>
      <w:tblCellMar>
        <w:top w:w="0" w:type="dxa"/>
        <w:left w:w="108" w:type="dxa"/>
        <w:bottom w:w="0" w:type="dxa"/>
        <w:right w:w="108" w:type="dxa"/>
      </w:tblCellMar>
    </w:tblPr>
  </w:style>
  <w:style w:type="paragraph" w:styleId="5">
    <w:name w:val="caption"/>
    <w:basedOn w:val="1"/>
    <w:next w:val="1"/>
    <w:unhideWhenUsed/>
    <w:qFormat/>
    <w:uiPriority w:val="35"/>
    <w:rPr>
      <w:rFonts w:eastAsia="黑体" w:asciiTheme="majorHAnsi" w:hAnsiTheme="majorHAnsi" w:cstheme="majorBidi"/>
      <w:sz w:val="20"/>
      <w:szCs w:val="20"/>
    </w:rPr>
  </w:style>
  <w:style w:type="paragraph" w:styleId="6">
    <w:name w:val="List Bullet"/>
    <w:basedOn w:val="1"/>
    <w:unhideWhenUsed/>
    <w:qFormat/>
    <w:uiPriority w:val="99"/>
    <w:pPr>
      <w:numPr>
        <w:ilvl w:val="0"/>
        <w:numId w:val="1"/>
      </w:numPr>
      <w:contextualSpacing/>
    </w:pPr>
  </w:style>
  <w:style w:type="paragraph" w:styleId="7">
    <w:name w:val="annotation text"/>
    <w:basedOn w:val="1"/>
    <w:link w:val="42"/>
    <w:semiHidden/>
    <w:unhideWhenUsed/>
    <w:uiPriority w:val="99"/>
    <w:pPr>
      <w:jc w:val="left"/>
    </w:pPr>
  </w:style>
  <w:style w:type="paragraph" w:styleId="8">
    <w:name w:val="toc 3"/>
    <w:basedOn w:val="1"/>
    <w:next w:val="1"/>
    <w:unhideWhenUsed/>
    <w:qFormat/>
    <w:uiPriority w:val="39"/>
    <w:pPr>
      <w:ind w:left="840" w:leftChars="400"/>
    </w:pPr>
  </w:style>
  <w:style w:type="paragraph" w:styleId="9">
    <w:name w:val="Date"/>
    <w:basedOn w:val="1"/>
    <w:next w:val="1"/>
    <w:link w:val="40"/>
    <w:semiHidden/>
    <w:unhideWhenUsed/>
    <w:qFormat/>
    <w:uiPriority w:val="99"/>
    <w:pPr>
      <w:ind w:left="100" w:leftChars="2500"/>
    </w:pPr>
  </w:style>
  <w:style w:type="paragraph" w:styleId="10">
    <w:name w:val="Balloon Text"/>
    <w:basedOn w:val="1"/>
    <w:link w:val="30"/>
    <w:semiHidden/>
    <w:unhideWhenUsed/>
    <w:qFormat/>
    <w:uiPriority w:val="99"/>
    <w:rPr>
      <w:sz w:val="18"/>
      <w:szCs w:val="18"/>
    </w:rPr>
  </w:style>
  <w:style w:type="paragraph" w:styleId="11">
    <w:name w:val="footer"/>
    <w:basedOn w:val="1"/>
    <w:link w:val="29"/>
    <w:unhideWhenUsed/>
    <w:qFormat/>
    <w:uiPriority w:val="99"/>
    <w:pPr>
      <w:tabs>
        <w:tab w:val="center" w:pos="4153"/>
        <w:tab w:val="right" w:pos="8306"/>
      </w:tabs>
      <w:snapToGrid w:val="0"/>
      <w:jc w:val="left"/>
    </w:pPr>
    <w:rPr>
      <w:sz w:val="18"/>
      <w:szCs w:val="18"/>
    </w:rPr>
  </w:style>
  <w:style w:type="paragraph" w:styleId="12">
    <w:name w:val="header"/>
    <w:basedOn w:val="1"/>
    <w:link w:val="28"/>
    <w:unhideWhenUsed/>
    <w:qFormat/>
    <w:uiPriority w:val="99"/>
    <w:pPr>
      <w:pBdr>
        <w:bottom w:val="single" w:color="auto" w:sz="6" w:space="1"/>
      </w:pBdr>
      <w:tabs>
        <w:tab w:val="center" w:pos="4153"/>
        <w:tab w:val="right" w:pos="8306"/>
      </w:tabs>
      <w:snapToGrid w:val="0"/>
      <w:jc w:val="center"/>
    </w:pPr>
    <w:rPr>
      <w:sz w:val="18"/>
      <w:szCs w:val="18"/>
    </w:rPr>
  </w:style>
  <w:style w:type="paragraph" w:styleId="13">
    <w:name w:val="toc 1"/>
    <w:basedOn w:val="1"/>
    <w:next w:val="1"/>
    <w:unhideWhenUsed/>
    <w:qFormat/>
    <w:uiPriority w:val="39"/>
  </w:style>
  <w:style w:type="paragraph" w:styleId="14">
    <w:name w:val="toc 4"/>
    <w:basedOn w:val="1"/>
    <w:next w:val="1"/>
    <w:unhideWhenUsed/>
    <w:qFormat/>
    <w:uiPriority w:val="39"/>
    <w:pPr>
      <w:ind w:left="1260" w:leftChars="600"/>
    </w:pPr>
  </w:style>
  <w:style w:type="paragraph" w:styleId="15">
    <w:name w:val="footnote text"/>
    <w:basedOn w:val="1"/>
    <w:link w:val="48"/>
    <w:unhideWhenUsed/>
    <w:qFormat/>
    <w:uiPriority w:val="99"/>
    <w:pPr>
      <w:widowControl/>
      <w:jc w:val="left"/>
    </w:pPr>
    <w:rPr>
      <w:rFonts w:cs="Times New Roman"/>
      <w:kern w:val="0"/>
      <w:sz w:val="20"/>
      <w:szCs w:val="20"/>
    </w:rPr>
  </w:style>
  <w:style w:type="paragraph" w:styleId="16">
    <w:name w:val="table of figures"/>
    <w:basedOn w:val="1"/>
    <w:next w:val="1"/>
    <w:unhideWhenUsed/>
    <w:qFormat/>
    <w:uiPriority w:val="99"/>
    <w:pPr>
      <w:ind w:left="200" w:leftChars="200" w:hanging="200" w:hangingChars="200"/>
    </w:pPr>
  </w:style>
  <w:style w:type="paragraph" w:styleId="17">
    <w:name w:val="toc 2"/>
    <w:basedOn w:val="1"/>
    <w:next w:val="1"/>
    <w:unhideWhenUsed/>
    <w:qFormat/>
    <w:uiPriority w:val="39"/>
    <w:pPr>
      <w:ind w:left="420" w:leftChars="200"/>
    </w:pPr>
  </w:style>
  <w:style w:type="paragraph" w:styleId="18">
    <w:name w:val="Normal (Web)"/>
    <w:basedOn w:val="1"/>
    <w:qFormat/>
    <w:uiPriority w:val="0"/>
    <w:pPr>
      <w:widowControl/>
      <w:spacing w:before="100" w:beforeAutospacing="1" w:after="100" w:afterAutospacing="1" w:line="312" w:lineRule="auto"/>
      <w:jc w:val="left"/>
    </w:pPr>
    <w:rPr>
      <w:rFonts w:ascii="宋体" w:hAnsi="宋体" w:eastAsia="宋体" w:cs="宋体"/>
      <w:kern w:val="0"/>
      <w:szCs w:val="21"/>
    </w:rPr>
  </w:style>
  <w:style w:type="paragraph" w:styleId="19">
    <w:name w:val="annotation subject"/>
    <w:basedOn w:val="7"/>
    <w:next w:val="7"/>
    <w:link w:val="43"/>
    <w:semiHidden/>
    <w:unhideWhenUsed/>
    <w:qFormat/>
    <w:uiPriority w:val="99"/>
    <w:rPr>
      <w:b/>
      <w:bCs/>
    </w:rPr>
  </w:style>
  <w:style w:type="table" w:styleId="21">
    <w:name w:val="Table Grid"/>
    <w:basedOn w:val="20"/>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22">
    <w:name w:val="Light List Accent 3"/>
    <w:basedOn w:val="20"/>
    <w:qFormat/>
    <w:uiPriority w:val="61"/>
    <w:rPr>
      <w:sz w:val="22"/>
    </w:rPr>
    <w:tblPr>
      <w:tblBorders>
        <w:top w:val="single" w:color="A5A5A5" w:themeColor="accent3" w:sz="8" w:space="0"/>
        <w:left w:val="single" w:color="A5A5A5" w:themeColor="accent3" w:sz="8" w:space="0"/>
        <w:bottom w:val="single" w:color="A5A5A5" w:themeColor="accent3" w:sz="8" w:space="0"/>
        <w:right w:val="single" w:color="A5A5A5" w:themeColor="accent3" w:sz="8" w:space="0"/>
      </w:tblBorders>
    </w:tblPr>
    <w:tblStylePr w:type="firstRow">
      <w:pPr>
        <w:spacing w:before="0" w:after="0" w:line="240" w:lineRule="auto"/>
      </w:pPr>
      <w:rPr>
        <w:b/>
        <w:bCs/>
        <w:color w:val="CCE8CF" w:themeColor="background1"/>
      </w:rPr>
      <w:tblPr/>
      <w:tcPr>
        <w:shd w:val="clear" w:color="auto" w:fill="A5A5A5" w:themeFill="accent3"/>
      </w:tcPr>
    </w:tblStylePr>
    <w:tblStylePr w:type="lastRow">
      <w:pPr>
        <w:spacing w:before="0" w:after="0" w:line="240" w:lineRule="auto"/>
      </w:pPr>
      <w:rPr>
        <w:b/>
        <w:bCs/>
      </w:rPr>
      <w:tblPr/>
      <w:tcPr>
        <w:tcBorders>
          <w:top w:val="double" w:color="A5A5A5" w:themeColor="accent3" w:sz="6" w:space="0"/>
          <w:left w:val="single" w:color="A5A5A5" w:themeColor="accent3" w:sz="8" w:space="0"/>
          <w:bottom w:val="single" w:color="A5A5A5" w:themeColor="accent3" w:sz="8" w:space="0"/>
          <w:right w:val="single" w:color="A5A5A5" w:themeColor="accent3" w:sz="8" w:space="0"/>
        </w:tcBorders>
      </w:tcPr>
    </w:tblStylePr>
    <w:tblStylePr w:type="firstCol">
      <w:rPr>
        <w:b/>
        <w:bCs/>
      </w:rPr>
    </w:tblStylePr>
    <w:tblStylePr w:type="lastCol">
      <w:rPr>
        <w:b/>
        <w:bCs/>
      </w:rPr>
    </w:tblStylePr>
    <w:tblStylePr w:type="band1Vert">
      <w:tblPr/>
      <w:tcPr>
        <w:tcBorders>
          <w:top w:val="single" w:color="A5A5A5" w:themeColor="accent3" w:sz="8" w:space="0"/>
          <w:left w:val="single" w:color="A5A5A5" w:themeColor="accent3" w:sz="8" w:space="0"/>
          <w:bottom w:val="single" w:color="A5A5A5" w:themeColor="accent3" w:sz="8" w:space="0"/>
          <w:right w:val="single" w:color="A5A5A5" w:themeColor="accent3" w:sz="8" w:space="0"/>
        </w:tcBorders>
      </w:tcPr>
    </w:tblStylePr>
    <w:tblStylePr w:type="band1Horz">
      <w:tblPr/>
      <w:tcPr>
        <w:tcBorders>
          <w:top w:val="single" w:color="A5A5A5" w:themeColor="accent3" w:sz="8" w:space="0"/>
          <w:left w:val="single" w:color="A5A5A5" w:themeColor="accent3" w:sz="8" w:space="0"/>
          <w:bottom w:val="single" w:color="A5A5A5" w:themeColor="accent3" w:sz="8" w:space="0"/>
          <w:right w:val="single" w:color="A5A5A5" w:themeColor="accent3" w:sz="8" w:space="0"/>
        </w:tcBorders>
      </w:tcPr>
    </w:tblStylePr>
  </w:style>
  <w:style w:type="table" w:styleId="23">
    <w:name w:val="Medium Shading 2 Accent 5"/>
    <w:basedOn w:val="20"/>
    <w:qFormat/>
    <w:uiPriority w:val="64"/>
    <w:rPr>
      <w:sz w:val="22"/>
    </w:rPr>
    <w:tblPr>
      <w:tblBorders>
        <w:top w:val="single" w:color="auto" w:sz="18" w:space="0"/>
        <w:bottom w:val="single" w:color="auto" w:sz="18" w:space="0"/>
      </w:tblBorders>
    </w:tblPr>
    <w:tblStylePr w:type="firstRow">
      <w:pPr>
        <w:spacing w:before="0" w:after="0" w:line="240" w:lineRule="auto"/>
      </w:pPr>
      <w:rPr>
        <w:b/>
        <w:bCs/>
        <w:color w:val="CCE8CF" w:themeColor="background1"/>
      </w:rPr>
      <w:tblPr/>
      <w:tcPr>
        <w:tcBorders>
          <w:top w:val="single" w:color="auto" w:sz="18" w:space="0"/>
          <w:left w:val="nil"/>
          <w:bottom w:val="single" w:color="auto" w:sz="18" w:space="0"/>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CCE8CF" w:themeFill="background1"/>
      </w:tcPr>
    </w:tblStylePr>
    <w:tblStylePr w:type="firstCol">
      <w:rPr>
        <w:b/>
        <w:bCs/>
        <w:color w:val="CCE8CF" w:themeColor="background1"/>
      </w:rPr>
      <w:tblPr/>
      <w:tcPr>
        <w:tcBorders>
          <w:top w:val="nil"/>
          <w:left w:val="nil"/>
          <w:bottom w:val="single" w:color="auto" w:sz="18" w:space="0"/>
          <w:right w:val="nil"/>
          <w:insideH w:val="nil"/>
          <w:insideV w:val="nil"/>
        </w:tcBorders>
        <w:shd w:val="clear" w:color="auto" w:fill="5B9BD5" w:themeFill="accent5"/>
      </w:tcPr>
    </w:tblStylePr>
    <w:tblStylePr w:type="lastCol">
      <w:rPr>
        <w:b/>
        <w:bCs/>
        <w:color w:val="CCE8C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9ED3A3" w:themeFill="background1" w:themeFillShade="D8"/>
      </w:tcPr>
    </w:tblStylePr>
    <w:tblStylePr w:type="band1Horz">
      <w:tblPr/>
      <w:tcPr>
        <w:shd w:val="clear" w:color="auto" w:fill="9ED3A3"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CCE8CF" w:themeColor="background1"/>
      </w:rPr>
      <w:tblPr/>
      <w:tcPr>
        <w:tcBorders>
          <w:top w:val="single" w:color="auto" w:sz="18" w:space="0"/>
          <w:left w:val="nil"/>
          <w:bottom w:val="single" w:color="auto" w:sz="18" w:space="0"/>
          <w:right w:val="nil"/>
          <w:insideH w:val="nil"/>
          <w:insideV w:val="nil"/>
        </w:tcBorders>
      </w:tcPr>
    </w:tblStylePr>
  </w:style>
  <w:style w:type="character" w:styleId="25">
    <w:name w:val="Emphasis"/>
    <w:basedOn w:val="24"/>
    <w:qFormat/>
    <w:uiPriority w:val="20"/>
    <w:rPr>
      <w:i/>
      <w:iCs/>
    </w:rPr>
  </w:style>
  <w:style w:type="character" w:styleId="26">
    <w:name w:val="Hyperlink"/>
    <w:basedOn w:val="24"/>
    <w:unhideWhenUsed/>
    <w:qFormat/>
    <w:uiPriority w:val="99"/>
    <w:rPr>
      <w:color w:val="0563C1" w:themeColor="hyperlink"/>
      <w:u w:val="single"/>
    </w:rPr>
  </w:style>
  <w:style w:type="character" w:styleId="27">
    <w:name w:val="annotation reference"/>
    <w:basedOn w:val="24"/>
    <w:semiHidden/>
    <w:unhideWhenUsed/>
    <w:qFormat/>
    <w:uiPriority w:val="99"/>
    <w:rPr>
      <w:sz w:val="21"/>
      <w:szCs w:val="21"/>
    </w:rPr>
  </w:style>
  <w:style w:type="character" w:customStyle="1" w:styleId="28">
    <w:name w:val="页眉 字符"/>
    <w:basedOn w:val="24"/>
    <w:link w:val="12"/>
    <w:qFormat/>
    <w:uiPriority w:val="99"/>
    <w:rPr>
      <w:sz w:val="18"/>
      <w:szCs w:val="18"/>
    </w:rPr>
  </w:style>
  <w:style w:type="character" w:customStyle="1" w:styleId="29">
    <w:name w:val="页脚 字符"/>
    <w:basedOn w:val="24"/>
    <w:link w:val="11"/>
    <w:qFormat/>
    <w:uiPriority w:val="99"/>
    <w:rPr>
      <w:sz w:val="18"/>
      <w:szCs w:val="18"/>
    </w:rPr>
  </w:style>
  <w:style w:type="character" w:customStyle="1" w:styleId="30">
    <w:name w:val="批注框文本 字符"/>
    <w:basedOn w:val="24"/>
    <w:link w:val="10"/>
    <w:semiHidden/>
    <w:qFormat/>
    <w:uiPriority w:val="99"/>
    <w:rPr>
      <w:sz w:val="18"/>
      <w:szCs w:val="18"/>
    </w:rPr>
  </w:style>
  <w:style w:type="character" w:customStyle="1" w:styleId="31">
    <w:name w:val="标题 1 字符"/>
    <w:basedOn w:val="24"/>
    <w:link w:val="2"/>
    <w:qFormat/>
    <w:uiPriority w:val="9"/>
    <w:rPr>
      <w:b/>
      <w:bCs/>
      <w:kern w:val="44"/>
      <w:sz w:val="44"/>
      <w:szCs w:val="44"/>
    </w:rPr>
  </w:style>
  <w:style w:type="character" w:customStyle="1" w:styleId="32">
    <w:name w:val="标题 2 字符"/>
    <w:basedOn w:val="24"/>
    <w:link w:val="3"/>
    <w:qFormat/>
    <w:uiPriority w:val="9"/>
    <w:rPr>
      <w:rFonts w:asciiTheme="majorHAnsi" w:hAnsiTheme="majorHAnsi" w:eastAsiaTheme="majorEastAsia" w:cstheme="majorBidi"/>
      <w:b/>
      <w:bCs/>
      <w:sz w:val="32"/>
      <w:szCs w:val="32"/>
    </w:rPr>
  </w:style>
  <w:style w:type="paragraph" w:customStyle="1" w:styleId="33">
    <w:name w:val="TOC 标题1"/>
    <w:basedOn w:val="2"/>
    <w:next w:val="1"/>
    <w:unhideWhenUsed/>
    <w:qFormat/>
    <w:uiPriority w:val="39"/>
    <w:pPr>
      <w:widowControl/>
      <w:spacing w:before="480" w:after="0" w:line="276" w:lineRule="auto"/>
      <w:jc w:val="left"/>
      <w:outlineLvl w:val="9"/>
    </w:pPr>
    <w:rPr>
      <w:rFonts w:asciiTheme="majorHAnsi" w:hAnsiTheme="majorHAnsi" w:eastAsiaTheme="majorEastAsia" w:cstheme="majorBidi"/>
      <w:color w:val="2F5496" w:themeColor="accent1" w:themeShade="BF"/>
      <w:kern w:val="0"/>
      <w:sz w:val="28"/>
      <w:szCs w:val="28"/>
    </w:rPr>
  </w:style>
  <w:style w:type="paragraph" w:customStyle="1" w:styleId="34">
    <w:name w:val="Default"/>
    <w:qFormat/>
    <w:uiPriority w:val="0"/>
    <w:pPr>
      <w:widowControl w:val="0"/>
      <w:autoSpaceDE w:val="0"/>
      <w:autoSpaceDN w:val="0"/>
      <w:adjustRightInd w:val="0"/>
    </w:pPr>
    <w:rPr>
      <w:rFonts w:ascii="宋体" w:eastAsia="宋体" w:cs="宋体" w:hAnsiTheme="minorHAnsi"/>
      <w:color w:val="000000"/>
      <w:sz w:val="24"/>
      <w:szCs w:val="24"/>
      <w:lang w:val="en-US" w:eastAsia="zh-CN" w:bidi="ar-SA"/>
    </w:rPr>
  </w:style>
  <w:style w:type="character" w:customStyle="1" w:styleId="35">
    <w:name w:val="明显强调1"/>
    <w:basedOn w:val="24"/>
    <w:qFormat/>
    <w:uiPriority w:val="21"/>
    <w:rPr>
      <w:i/>
      <w:iCs/>
      <w:color w:val="4472C4" w:themeColor="accent1"/>
    </w:rPr>
  </w:style>
  <w:style w:type="paragraph" w:customStyle="1" w:styleId="36">
    <w:name w:val="paragraph"/>
    <w:basedOn w:val="1"/>
    <w:qFormat/>
    <w:uiPriority w:val="0"/>
    <w:pPr>
      <w:widowControl/>
      <w:spacing w:before="100" w:beforeAutospacing="1" w:after="100" w:afterAutospacing="1"/>
      <w:jc w:val="left"/>
    </w:pPr>
    <w:rPr>
      <w:rFonts w:ascii="宋体" w:hAnsi="宋体" w:eastAsia="宋体" w:cs="宋体"/>
      <w:kern w:val="0"/>
      <w:sz w:val="24"/>
      <w:szCs w:val="24"/>
    </w:rPr>
  </w:style>
  <w:style w:type="character" w:customStyle="1" w:styleId="37">
    <w:name w:val="normaltextrun"/>
    <w:basedOn w:val="24"/>
    <w:qFormat/>
    <w:uiPriority w:val="0"/>
  </w:style>
  <w:style w:type="table" w:customStyle="1" w:styleId="38">
    <w:name w:val="网格型1"/>
    <w:basedOn w:val="20"/>
    <w:qFormat/>
    <w:uiPriority w:val="39"/>
    <w:rPr>
      <w:sz w:val="24"/>
      <w:szCs w:val="24"/>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39">
    <w:name w:val="List Paragraph"/>
    <w:basedOn w:val="1"/>
    <w:qFormat/>
    <w:uiPriority w:val="34"/>
    <w:pPr>
      <w:ind w:firstLine="420" w:firstLineChars="200"/>
    </w:pPr>
  </w:style>
  <w:style w:type="character" w:customStyle="1" w:styleId="40">
    <w:name w:val="日期 字符"/>
    <w:basedOn w:val="24"/>
    <w:link w:val="9"/>
    <w:semiHidden/>
    <w:qFormat/>
    <w:uiPriority w:val="99"/>
  </w:style>
  <w:style w:type="paragraph" w:customStyle="1" w:styleId="41">
    <w:name w:val="修订1"/>
    <w:hidden/>
    <w:semiHidden/>
    <w:qFormat/>
    <w:uiPriority w:val="99"/>
    <w:rPr>
      <w:rFonts w:asciiTheme="minorHAnsi" w:hAnsiTheme="minorHAnsi" w:eastAsiaTheme="minorEastAsia" w:cstheme="minorBidi"/>
      <w:kern w:val="2"/>
      <w:sz w:val="21"/>
      <w:szCs w:val="22"/>
      <w:lang w:val="en-US" w:eastAsia="zh-CN" w:bidi="ar-SA"/>
    </w:rPr>
  </w:style>
  <w:style w:type="character" w:customStyle="1" w:styleId="42">
    <w:name w:val="批注文字 字符"/>
    <w:basedOn w:val="24"/>
    <w:link w:val="7"/>
    <w:semiHidden/>
    <w:qFormat/>
    <w:uiPriority w:val="99"/>
  </w:style>
  <w:style w:type="character" w:customStyle="1" w:styleId="43">
    <w:name w:val="批注主题 字符"/>
    <w:basedOn w:val="42"/>
    <w:link w:val="19"/>
    <w:semiHidden/>
    <w:qFormat/>
    <w:uiPriority w:val="99"/>
    <w:rPr>
      <w:b/>
      <w:bCs/>
    </w:rPr>
  </w:style>
  <w:style w:type="table" w:customStyle="1" w:styleId="44">
    <w:name w:val="网格表 5 深色 - 着色 51"/>
    <w:basedOn w:val="20"/>
    <w:qFormat/>
    <w:uiPriority w:val="50"/>
    <w:tblPr>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Pr>
    <w:tcPr>
      <w:shd w:val="clear" w:color="auto" w:fill="DEEAF6" w:themeFill="accent5" w:themeFillTint="33"/>
    </w:tcPr>
    <w:tblStylePr w:type="firstRow">
      <w:rPr>
        <w:b/>
        <w:bCs/>
        <w:color w:val="CCE8CF" w:themeColor="background1"/>
      </w:rPr>
      <w:tcPr>
        <w:tcBorders>
          <w:top w:val="single" w:color="CCE8CF" w:themeColor="background1" w:sz="4" w:space="0"/>
          <w:left w:val="single" w:color="CCE8CF" w:themeColor="background1" w:sz="4" w:space="0"/>
          <w:right w:val="single" w:color="CCE8CF" w:themeColor="background1" w:sz="4" w:space="0"/>
          <w:insideH w:val="nil"/>
          <w:insideV w:val="nil"/>
        </w:tcBorders>
        <w:shd w:val="clear" w:color="auto" w:fill="5B9BD5" w:themeFill="accent5"/>
      </w:tcPr>
    </w:tblStylePr>
    <w:tblStylePr w:type="lastRow">
      <w:rPr>
        <w:b/>
        <w:bCs/>
        <w:color w:val="CCE8CF" w:themeColor="background1"/>
      </w:rPr>
      <w:tcPr>
        <w:tcBorders>
          <w:left w:val="single" w:color="CCE8CF" w:themeColor="background1" w:sz="4" w:space="0"/>
          <w:bottom w:val="single" w:color="CCE8CF" w:themeColor="background1" w:sz="4" w:space="0"/>
          <w:right w:val="single" w:color="CCE8CF" w:themeColor="background1" w:sz="4" w:space="0"/>
          <w:insideH w:val="nil"/>
          <w:insideV w:val="nil"/>
        </w:tcBorders>
        <w:shd w:val="clear" w:color="auto" w:fill="5B9BD5" w:themeFill="accent5"/>
      </w:tcPr>
    </w:tblStylePr>
    <w:tblStylePr w:type="firstCol">
      <w:rPr>
        <w:b/>
        <w:bCs/>
        <w:color w:val="CCE8CF" w:themeColor="background1"/>
      </w:rPr>
      <w:tcPr>
        <w:tcBorders>
          <w:top w:val="single" w:color="CCE8CF" w:themeColor="background1" w:sz="4" w:space="0"/>
          <w:left w:val="single" w:color="CCE8CF" w:themeColor="background1" w:sz="4" w:space="0"/>
          <w:bottom w:val="single" w:color="CCE8CF" w:themeColor="background1" w:sz="4" w:space="0"/>
          <w:insideV w:val="nil"/>
        </w:tcBorders>
        <w:shd w:val="clear" w:color="auto" w:fill="5B9BD5" w:themeFill="accent5"/>
      </w:tcPr>
    </w:tblStylePr>
    <w:tblStylePr w:type="lastCol">
      <w:rPr>
        <w:b/>
        <w:bCs/>
        <w:color w:val="CCE8CF" w:themeColor="background1"/>
      </w:rPr>
      <w:tcPr>
        <w:tcBorders>
          <w:top w:val="single" w:color="CCE8CF" w:themeColor="background1" w:sz="4" w:space="0"/>
          <w:bottom w:val="single" w:color="CCE8CF" w:themeColor="background1" w:sz="4" w:space="0"/>
          <w:right w:val="single" w:color="CCE8C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paragraph" w:styleId="45">
    <w:name w:val="No Spacing"/>
    <w:link w:val="46"/>
    <w:qFormat/>
    <w:uiPriority w:val="1"/>
    <w:rPr>
      <w:rFonts w:asciiTheme="minorHAnsi" w:hAnsiTheme="minorHAnsi" w:eastAsiaTheme="minorEastAsia" w:cstheme="minorBidi"/>
      <w:sz w:val="22"/>
      <w:szCs w:val="22"/>
      <w:lang w:val="en-US" w:eastAsia="zh-CN" w:bidi="ar-SA"/>
    </w:rPr>
  </w:style>
  <w:style w:type="character" w:customStyle="1" w:styleId="46">
    <w:name w:val="无间隔 字符"/>
    <w:basedOn w:val="24"/>
    <w:link w:val="45"/>
    <w:qFormat/>
    <w:uiPriority w:val="1"/>
    <w:rPr>
      <w:kern w:val="0"/>
      <w:sz w:val="22"/>
    </w:rPr>
  </w:style>
  <w:style w:type="paragraph" w:customStyle="1" w:styleId="47">
    <w:name w:val="Decimal Aligned"/>
    <w:basedOn w:val="1"/>
    <w:qFormat/>
    <w:uiPriority w:val="40"/>
    <w:pPr>
      <w:widowControl/>
      <w:tabs>
        <w:tab w:val="decimal" w:pos="360"/>
      </w:tabs>
      <w:spacing w:after="200" w:line="276" w:lineRule="auto"/>
      <w:jc w:val="left"/>
    </w:pPr>
    <w:rPr>
      <w:rFonts w:cs="Times New Roman"/>
      <w:kern w:val="0"/>
      <w:sz w:val="22"/>
    </w:rPr>
  </w:style>
  <w:style w:type="character" w:customStyle="1" w:styleId="48">
    <w:name w:val="脚注文本 字符"/>
    <w:basedOn w:val="24"/>
    <w:link w:val="15"/>
    <w:qFormat/>
    <w:uiPriority w:val="99"/>
    <w:rPr>
      <w:rFonts w:cs="Times New Roman"/>
      <w:kern w:val="0"/>
      <w:sz w:val="20"/>
      <w:szCs w:val="20"/>
    </w:rPr>
  </w:style>
  <w:style w:type="character" w:customStyle="1" w:styleId="49">
    <w:name w:val="不明显强调1"/>
    <w:basedOn w:val="24"/>
    <w:qFormat/>
    <w:uiPriority w:val="19"/>
    <w:rPr>
      <w:i/>
      <w:iCs/>
    </w:rPr>
  </w:style>
  <w:style w:type="table" w:customStyle="1" w:styleId="50">
    <w:name w:val="网格表 3 - 着色 11"/>
    <w:basedOn w:val="20"/>
    <w:qFormat/>
    <w:uiPriority w:val="48"/>
    <w:tblPr>
      <w:tblBorders>
        <w:top w:val="single" w:color="8EAADB" w:themeColor="accent1" w:themeTint="99" w:sz="4" w:space="0"/>
        <w:left w:val="single" w:color="8EAADB" w:themeColor="accent1" w:themeTint="99" w:sz="4" w:space="0"/>
        <w:bottom w:val="single" w:color="8EAADB" w:themeColor="accent1" w:themeTint="99" w:sz="4" w:space="0"/>
        <w:right w:val="single" w:color="8EAADB" w:themeColor="accent1" w:themeTint="99" w:sz="4" w:space="0"/>
        <w:insideH w:val="single" w:color="8EAADB" w:themeColor="accent1" w:themeTint="99" w:sz="4" w:space="0"/>
        <w:insideV w:val="single" w:color="8EAADB" w:themeColor="accent1" w:themeTint="99" w:sz="4" w:space="0"/>
      </w:tblBorders>
    </w:tblPr>
    <w:tblStylePr w:type="firstRow">
      <w:rPr>
        <w:b/>
        <w:bCs/>
      </w:rPr>
      <w:tcPr>
        <w:tcBorders>
          <w:top w:val="nil"/>
          <w:left w:val="nil"/>
          <w:right w:val="nil"/>
          <w:insideH w:val="nil"/>
          <w:insideV w:val="nil"/>
        </w:tcBorders>
        <w:shd w:val="clear" w:color="auto" w:fill="CCE8CF" w:themeFill="background1"/>
      </w:tcPr>
    </w:tblStylePr>
    <w:tblStylePr w:type="lastRow">
      <w:rPr>
        <w:b/>
        <w:bCs/>
      </w:rPr>
      <w:tcPr>
        <w:tcBorders>
          <w:left w:val="nil"/>
          <w:bottom w:val="nil"/>
          <w:right w:val="nil"/>
          <w:insideH w:val="nil"/>
          <w:insideV w:val="nil"/>
        </w:tcBorders>
        <w:shd w:val="clear" w:color="auto" w:fill="CCE8CF" w:themeFill="background1"/>
      </w:tcPr>
    </w:tblStylePr>
    <w:tblStylePr w:type="firstCol">
      <w:pPr>
        <w:jc w:val="right"/>
      </w:pPr>
      <w:rPr>
        <w:i/>
        <w:iCs/>
      </w:rPr>
      <w:tcPr>
        <w:tcBorders>
          <w:top w:val="nil"/>
          <w:left w:val="nil"/>
          <w:bottom w:val="nil"/>
          <w:insideH w:val="nil"/>
          <w:insideV w:val="nil"/>
        </w:tcBorders>
        <w:shd w:val="clear" w:color="auto" w:fill="CCE8CF" w:themeFill="background1"/>
      </w:tcPr>
    </w:tblStylePr>
    <w:tblStylePr w:type="lastCol">
      <w:rPr>
        <w:i/>
        <w:iCs/>
      </w:rPr>
      <w:tcPr>
        <w:tcBorders>
          <w:top w:val="nil"/>
          <w:bottom w:val="nil"/>
          <w:right w:val="nil"/>
          <w:insideH w:val="nil"/>
          <w:insideV w:val="nil"/>
        </w:tcBorders>
        <w:shd w:val="clear" w:color="auto" w:fill="CCE8CF" w:themeFill="background1"/>
      </w:tcPr>
    </w:tblStylePr>
    <w:tblStylePr w:type="band1Vert">
      <w:tcPr>
        <w:shd w:val="clear" w:color="auto" w:fill="D9E2F3" w:themeFill="accent1" w:themeFillTint="33"/>
      </w:tcPr>
    </w:tblStylePr>
    <w:tblStylePr w:type="band1Horz">
      <w:tcPr>
        <w:shd w:val="clear" w:color="auto" w:fill="D9E2F3" w:themeFill="accent1" w:themeFillTint="33"/>
      </w:tcPr>
    </w:tblStylePr>
    <w:tblStylePr w:type="neCell">
      <w:tcPr>
        <w:tcBorders>
          <w:bottom w:val="single" w:color="8EAADB" w:themeColor="accent1" w:themeTint="99" w:sz="4" w:space="0"/>
        </w:tcBorders>
      </w:tcPr>
    </w:tblStylePr>
    <w:tblStylePr w:type="nwCell">
      <w:tcPr>
        <w:tcBorders>
          <w:bottom w:val="single" w:color="8EAADB" w:themeColor="accent1" w:themeTint="99" w:sz="4" w:space="0"/>
        </w:tcBorders>
      </w:tcPr>
    </w:tblStylePr>
    <w:tblStylePr w:type="seCell">
      <w:tcPr>
        <w:tcBorders>
          <w:top w:val="single" w:color="8EAADB" w:themeColor="accent1" w:themeTint="99" w:sz="4" w:space="0"/>
        </w:tcBorders>
      </w:tcPr>
    </w:tblStylePr>
    <w:tblStylePr w:type="swCell">
      <w:tcPr>
        <w:tcBorders>
          <w:top w:val="single" w:color="8EAADB" w:themeColor="accent1" w:themeTint="99" w:sz="4" w:space="0"/>
        </w:tcBorders>
      </w:tcPr>
    </w:tblStylePr>
  </w:style>
  <w:style w:type="table" w:customStyle="1" w:styleId="51">
    <w:name w:val="网格表 2 - 着色 11"/>
    <w:basedOn w:val="20"/>
    <w:qFormat/>
    <w:uiPriority w:val="47"/>
    <w:tblPr>
      <w:tblBorders>
        <w:top w:val="single" w:color="8EAADB" w:themeColor="accent1" w:themeTint="99" w:sz="2" w:space="0"/>
        <w:bottom w:val="single" w:color="8EAADB" w:themeColor="accent1" w:themeTint="99" w:sz="2" w:space="0"/>
        <w:insideH w:val="single" w:color="8EAADB" w:themeColor="accent1" w:themeTint="99" w:sz="2" w:space="0"/>
        <w:insideV w:val="single" w:color="8EAADB" w:themeColor="accent1" w:themeTint="99" w:sz="2" w:space="0"/>
      </w:tblBorders>
    </w:tblPr>
    <w:tblStylePr w:type="firstRow">
      <w:rPr>
        <w:b/>
        <w:bCs/>
      </w:rPr>
      <w:tcPr>
        <w:tcBorders>
          <w:top w:val="nil"/>
          <w:bottom w:val="single" w:color="8EAADB" w:themeColor="accent1" w:themeTint="99" w:sz="12" w:space="0"/>
          <w:insideH w:val="nil"/>
          <w:insideV w:val="nil"/>
        </w:tcBorders>
        <w:shd w:val="clear" w:color="auto" w:fill="CCE8CF" w:themeFill="background1"/>
      </w:tcPr>
    </w:tblStylePr>
    <w:tblStylePr w:type="lastRow">
      <w:rPr>
        <w:b/>
        <w:bCs/>
      </w:rPr>
      <w:tcPr>
        <w:tcBorders>
          <w:top w:val="double" w:color="8EAADB" w:themeColor="accent1" w:themeTint="99" w:sz="2" w:space="0"/>
          <w:bottom w:val="nil"/>
          <w:insideH w:val="nil"/>
          <w:insideV w:val="nil"/>
        </w:tcBorders>
        <w:shd w:val="clear" w:color="auto" w:fill="CCE8CF" w:themeFill="background1"/>
      </w:tcPr>
    </w:tblStylePr>
    <w:tblStylePr w:type="firstCol">
      <w:rPr>
        <w:b/>
        <w:bCs/>
      </w:rPr>
    </w:tblStylePr>
    <w:tblStylePr w:type="lastCol">
      <w:rPr>
        <w:b/>
        <w:bCs/>
      </w:rPr>
    </w:tblStylePr>
    <w:tblStylePr w:type="band1Vert">
      <w:tcPr>
        <w:shd w:val="clear" w:color="auto" w:fill="D9E2F3" w:themeFill="accent1" w:themeFillTint="33"/>
      </w:tcPr>
    </w:tblStylePr>
    <w:tblStylePr w:type="band1Horz">
      <w:tcPr>
        <w:shd w:val="clear" w:color="auto" w:fill="D9E2F3" w:themeFill="accent1" w:themeFillTint="33"/>
      </w:tcPr>
    </w:tblStylePr>
  </w:style>
  <w:style w:type="table" w:customStyle="1" w:styleId="52">
    <w:name w:val="网格表 4 - 着色 11"/>
    <w:basedOn w:val="20"/>
    <w:qFormat/>
    <w:uiPriority w:val="49"/>
    <w:tblPr>
      <w:tblBorders>
        <w:top w:val="single" w:color="8EAADB" w:themeColor="accent1" w:themeTint="99" w:sz="4" w:space="0"/>
        <w:left w:val="single" w:color="8EAADB" w:themeColor="accent1" w:themeTint="99" w:sz="4" w:space="0"/>
        <w:bottom w:val="single" w:color="8EAADB" w:themeColor="accent1" w:themeTint="99" w:sz="4" w:space="0"/>
        <w:right w:val="single" w:color="8EAADB" w:themeColor="accent1" w:themeTint="99" w:sz="4" w:space="0"/>
        <w:insideH w:val="single" w:color="8EAADB" w:themeColor="accent1" w:themeTint="99" w:sz="4" w:space="0"/>
        <w:insideV w:val="single" w:color="8EAADB" w:themeColor="accent1" w:themeTint="99" w:sz="4" w:space="0"/>
      </w:tblBorders>
    </w:tblPr>
    <w:tblStylePr w:type="firstRow">
      <w:rPr>
        <w:b/>
        <w:bCs/>
        <w:color w:val="CCE8CF" w:themeColor="background1"/>
      </w:rPr>
      <w:tcPr>
        <w:tcBorders>
          <w:top w:val="single" w:color="4472C4" w:themeColor="accent1" w:sz="4" w:space="0"/>
          <w:left w:val="single" w:color="4472C4" w:themeColor="accent1" w:sz="4" w:space="0"/>
          <w:bottom w:val="single" w:color="4472C4" w:themeColor="accent1" w:sz="4" w:space="0"/>
          <w:right w:val="single" w:color="4472C4" w:themeColor="accent1" w:sz="4" w:space="0"/>
          <w:insideH w:val="nil"/>
          <w:insideV w:val="nil"/>
        </w:tcBorders>
        <w:shd w:val="clear" w:color="auto" w:fill="4472C4" w:themeFill="accent1"/>
      </w:tcPr>
    </w:tblStylePr>
    <w:tblStylePr w:type="lastRow">
      <w:rPr>
        <w:b/>
        <w:bCs/>
      </w:rPr>
      <w:tcPr>
        <w:tcBorders>
          <w:top w:val="double" w:color="4472C4" w:themeColor="accent1" w:sz="4" w:space="0"/>
        </w:tcBorders>
      </w:tcPr>
    </w:tblStylePr>
    <w:tblStylePr w:type="firstCol">
      <w:rPr>
        <w:b/>
        <w:bCs/>
      </w:rPr>
    </w:tblStylePr>
    <w:tblStylePr w:type="lastCol">
      <w:rPr>
        <w:b/>
        <w:bCs/>
      </w:rPr>
    </w:tblStylePr>
    <w:tblStylePr w:type="band1Vert">
      <w:tcPr>
        <w:shd w:val="clear" w:color="auto" w:fill="D9E2F3" w:themeFill="accent1" w:themeFillTint="33"/>
      </w:tcPr>
    </w:tblStylePr>
    <w:tblStylePr w:type="band1Horz">
      <w:tcPr>
        <w:shd w:val="clear" w:color="auto" w:fill="D9E2F3" w:themeFill="accent1" w:themeFillTint="33"/>
      </w:tcPr>
    </w:tblStylePr>
  </w:style>
  <w:style w:type="table" w:customStyle="1" w:styleId="53">
    <w:name w:val="网格表 2 - 着色 51"/>
    <w:basedOn w:val="20"/>
    <w:qFormat/>
    <w:uiPriority w:val="47"/>
    <w:tblPr>
      <w:tblBorders>
        <w:top w:val="single" w:color="9CC2E5" w:themeColor="accent5" w:themeTint="99" w:sz="2" w:space="0"/>
        <w:bottom w:val="single" w:color="9CC2E5" w:themeColor="accent5" w:themeTint="99" w:sz="2" w:space="0"/>
        <w:insideH w:val="single" w:color="9CC2E5" w:themeColor="accent5" w:themeTint="99" w:sz="2" w:space="0"/>
        <w:insideV w:val="single" w:color="9CC2E5" w:themeColor="accent5" w:themeTint="99" w:sz="2" w:space="0"/>
      </w:tblBorders>
    </w:tblPr>
    <w:tblStylePr w:type="firstRow">
      <w:rPr>
        <w:b/>
        <w:bCs/>
      </w:rPr>
      <w:tcPr>
        <w:tcBorders>
          <w:top w:val="nil"/>
          <w:bottom w:val="single" w:color="9CC2E5" w:themeColor="accent5" w:themeTint="99" w:sz="12" w:space="0"/>
          <w:insideH w:val="nil"/>
          <w:insideV w:val="nil"/>
        </w:tcBorders>
        <w:shd w:val="clear" w:color="auto" w:fill="CCE8CF" w:themeFill="background1"/>
      </w:tcPr>
    </w:tblStylePr>
    <w:tblStylePr w:type="lastRow">
      <w:rPr>
        <w:b/>
        <w:bCs/>
      </w:rPr>
      <w:tcPr>
        <w:tcBorders>
          <w:top w:val="double" w:color="9CC2E5" w:themeColor="accent5" w:themeTint="99" w:sz="2" w:space="0"/>
          <w:bottom w:val="nil"/>
          <w:insideH w:val="nil"/>
          <w:insideV w:val="nil"/>
        </w:tcBorders>
        <w:shd w:val="clear" w:color="auto" w:fill="CCE8CF" w:themeFill="background1"/>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54">
    <w:name w:val="网格表 4 - 着色 51"/>
    <w:basedOn w:val="20"/>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CCE8CF" w:themeColor="background1"/>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55">
    <w:name w:val="清单表 5 深色 - 着色 11"/>
    <w:basedOn w:val="20"/>
    <w:qFormat/>
    <w:uiPriority w:val="50"/>
    <w:rPr>
      <w:color w:val="CCE8CF" w:themeColor="background1"/>
    </w:rPr>
    <w:tblPr>
      <w:tblBorders>
        <w:top w:val="single" w:color="4472C4" w:themeColor="accent1" w:sz="24" w:space="0"/>
        <w:left w:val="single" w:color="4472C4" w:themeColor="accent1" w:sz="24" w:space="0"/>
        <w:bottom w:val="single" w:color="4472C4" w:themeColor="accent1" w:sz="24" w:space="0"/>
        <w:right w:val="single" w:color="4472C4" w:themeColor="accent1" w:sz="24" w:space="0"/>
      </w:tblBorders>
    </w:tblPr>
    <w:tcPr>
      <w:shd w:val="clear" w:color="auto" w:fill="4472C4" w:themeFill="accent1"/>
    </w:tcPr>
    <w:tblStylePr w:type="firstRow">
      <w:rPr>
        <w:b/>
        <w:bCs/>
      </w:rPr>
      <w:tcPr>
        <w:tcBorders>
          <w:bottom w:val="single" w:color="CCE8CF" w:themeColor="background1" w:sz="18" w:space="0"/>
        </w:tcBorders>
      </w:tcPr>
    </w:tblStylePr>
    <w:tblStylePr w:type="lastRow">
      <w:rPr>
        <w:b/>
        <w:bCs/>
      </w:rPr>
      <w:tcPr>
        <w:tcBorders>
          <w:top w:val="single" w:color="CCE8CF" w:themeColor="background1" w:sz="4" w:space="0"/>
        </w:tcBorders>
      </w:tcPr>
    </w:tblStylePr>
    <w:tblStylePr w:type="firstCol">
      <w:rPr>
        <w:b/>
        <w:bCs/>
      </w:rPr>
      <w:tcPr>
        <w:tcBorders>
          <w:right w:val="single" w:color="CCE8CF" w:themeColor="background1" w:sz="4" w:space="0"/>
        </w:tcBorders>
      </w:tcPr>
    </w:tblStylePr>
    <w:tblStylePr w:type="lastCol">
      <w:rPr>
        <w:b/>
        <w:bCs/>
      </w:rPr>
      <w:tcPr>
        <w:tcBorders>
          <w:left w:val="single" w:color="CCE8CF" w:themeColor="background1" w:sz="4" w:space="0"/>
        </w:tcBorders>
      </w:tcPr>
    </w:tblStylePr>
    <w:tblStylePr w:type="band1Vert">
      <w:tcPr>
        <w:tcBorders>
          <w:left w:val="single" w:color="CCE8CF" w:themeColor="background1" w:sz="4" w:space="0"/>
          <w:right w:val="single" w:color="CCE8CF" w:themeColor="background1" w:sz="4" w:space="0"/>
        </w:tcBorders>
      </w:tcPr>
    </w:tblStylePr>
    <w:tblStylePr w:type="band2Vert">
      <w:tcPr>
        <w:tcBorders>
          <w:left w:val="single" w:color="CCE8CF" w:themeColor="background1" w:sz="4" w:space="0"/>
          <w:right w:val="single" w:color="CCE8CF" w:themeColor="background1" w:sz="4" w:space="0"/>
        </w:tcBorders>
      </w:tcPr>
    </w:tblStylePr>
    <w:tblStylePr w:type="band1Horz">
      <w:tcPr>
        <w:tcBorders>
          <w:top w:val="single" w:color="CCE8CF" w:themeColor="background1" w:sz="4" w:space="0"/>
          <w:bottom w:val="single" w:color="CCE8CF" w:themeColor="background1" w:sz="4" w:space="0"/>
        </w:tcBorders>
      </w:tcPr>
    </w:tblStylePr>
    <w:tblStylePr w:type="neCell">
      <w:tcPr>
        <w:tcBorders>
          <w:left w:val="nil"/>
        </w:tcBorders>
      </w:tcPr>
    </w:tblStylePr>
    <w:tblStylePr w:type="nwCell">
      <w:tcPr>
        <w:tcBorders>
          <w:right w:val="nil"/>
        </w:tcBorders>
      </w:tcPr>
    </w:tblStylePr>
    <w:tblStylePr w:type="seCell">
      <w:tcPr>
        <w:tcBorders>
          <w:top w:val="nil"/>
          <w:left w:val="nil"/>
        </w:tcBorders>
      </w:tcPr>
    </w:tblStylePr>
    <w:tblStylePr w:type="swCell">
      <w:tcPr>
        <w:tcBorders>
          <w:top w:val="nil"/>
          <w:right w:val="nil"/>
        </w:tcBorders>
      </w:tcPr>
    </w:tblStylePr>
  </w:style>
  <w:style w:type="table" w:customStyle="1" w:styleId="56">
    <w:name w:val="清单表 5 深色 - 着色 51"/>
    <w:basedOn w:val="20"/>
    <w:qFormat/>
    <w:uiPriority w:val="50"/>
    <w:rPr>
      <w:color w:val="CCE8CF" w:themeColor="background1"/>
    </w:rPr>
    <w:tblPr>
      <w:tblBorders>
        <w:top w:val="single" w:color="5B9BD5" w:themeColor="accent5" w:sz="24" w:space="0"/>
        <w:left w:val="single" w:color="5B9BD5" w:themeColor="accent5" w:sz="24" w:space="0"/>
        <w:bottom w:val="single" w:color="5B9BD5" w:themeColor="accent5" w:sz="24" w:space="0"/>
        <w:right w:val="single" w:color="5B9BD5" w:themeColor="accent5" w:sz="24" w:space="0"/>
      </w:tblBorders>
    </w:tblPr>
    <w:tcPr>
      <w:shd w:val="clear" w:color="auto" w:fill="5B9BD5" w:themeFill="accent5"/>
    </w:tcPr>
    <w:tblStylePr w:type="firstRow">
      <w:rPr>
        <w:b/>
        <w:bCs/>
      </w:rPr>
      <w:tcPr>
        <w:tcBorders>
          <w:bottom w:val="single" w:color="CCE8CF" w:themeColor="background1" w:sz="18" w:space="0"/>
        </w:tcBorders>
      </w:tcPr>
    </w:tblStylePr>
    <w:tblStylePr w:type="lastRow">
      <w:rPr>
        <w:b/>
        <w:bCs/>
      </w:rPr>
      <w:tcPr>
        <w:tcBorders>
          <w:top w:val="single" w:color="CCE8CF" w:themeColor="background1" w:sz="4" w:space="0"/>
        </w:tcBorders>
      </w:tcPr>
    </w:tblStylePr>
    <w:tblStylePr w:type="firstCol">
      <w:rPr>
        <w:b/>
        <w:bCs/>
      </w:rPr>
      <w:tcPr>
        <w:tcBorders>
          <w:right w:val="single" w:color="CCE8CF" w:themeColor="background1" w:sz="4" w:space="0"/>
        </w:tcBorders>
      </w:tcPr>
    </w:tblStylePr>
    <w:tblStylePr w:type="lastCol">
      <w:rPr>
        <w:b/>
        <w:bCs/>
      </w:rPr>
      <w:tcPr>
        <w:tcBorders>
          <w:left w:val="single" w:color="CCE8CF" w:themeColor="background1" w:sz="4" w:space="0"/>
        </w:tcBorders>
      </w:tcPr>
    </w:tblStylePr>
    <w:tblStylePr w:type="band1Vert">
      <w:tcPr>
        <w:tcBorders>
          <w:left w:val="single" w:color="CCE8CF" w:themeColor="background1" w:sz="4" w:space="0"/>
          <w:right w:val="single" w:color="CCE8CF" w:themeColor="background1" w:sz="4" w:space="0"/>
        </w:tcBorders>
      </w:tcPr>
    </w:tblStylePr>
    <w:tblStylePr w:type="band2Vert">
      <w:tcPr>
        <w:tcBorders>
          <w:left w:val="single" w:color="CCE8CF" w:themeColor="background1" w:sz="4" w:space="0"/>
          <w:right w:val="single" w:color="CCE8CF" w:themeColor="background1" w:sz="4" w:space="0"/>
        </w:tcBorders>
      </w:tcPr>
    </w:tblStylePr>
    <w:tblStylePr w:type="band1Horz">
      <w:tcPr>
        <w:tcBorders>
          <w:top w:val="single" w:color="CCE8CF" w:themeColor="background1" w:sz="4" w:space="0"/>
          <w:bottom w:val="single" w:color="CCE8CF" w:themeColor="background1" w:sz="4" w:space="0"/>
        </w:tcBorders>
      </w:tcPr>
    </w:tblStylePr>
    <w:tblStylePr w:type="neCell">
      <w:tcPr>
        <w:tcBorders>
          <w:left w:val="nil"/>
        </w:tcBorders>
      </w:tcPr>
    </w:tblStylePr>
    <w:tblStylePr w:type="nwCell">
      <w:tcPr>
        <w:tcBorders>
          <w:right w:val="nil"/>
        </w:tcBorders>
      </w:tcPr>
    </w:tblStylePr>
    <w:tblStylePr w:type="seCell">
      <w:tcPr>
        <w:tcBorders>
          <w:top w:val="nil"/>
          <w:left w:val="nil"/>
        </w:tcBorders>
      </w:tcPr>
    </w:tblStylePr>
    <w:tblStylePr w:type="swCell">
      <w:tcPr>
        <w:tcBorders>
          <w:top w:val="nil"/>
          <w:right w:val="nil"/>
        </w:tcBorders>
      </w:tcPr>
    </w:tblStylePr>
  </w:style>
  <w:style w:type="table" w:customStyle="1" w:styleId="57">
    <w:name w:val="样式1"/>
    <w:basedOn w:val="20"/>
    <w:qFormat/>
    <w:uiPriority w:val="99"/>
  </w:style>
  <w:style w:type="table" w:customStyle="1" w:styleId="58">
    <w:name w:val="网格表 3 - 着色 21"/>
    <w:basedOn w:val="20"/>
    <w:qFormat/>
    <w:uiPriority w:val="48"/>
    <w:tblPr>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Pr>
    <w:tblStylePr w:type="firstRow">
      <w:rPr>
        <w:b/>
        <w:bCs/>
      </w:rPr>
      <w:tcPr>
        <w:tcBorders>
          <w:top w:val="nil"/>
          <w:left w:val="nil"/>
          <w:right w:val="nil"/>
          <w:insideH w:val="nil"/>
          <w:insideV w:val="nil"/>
        </w:tcBorders>
        <w:shd w:val="clear" w:color="auto" w:fill="CCE8CF" w:themeFill="background1"/>
      </w:tcPr>
    </w:tblStylePr>
    <w:tblStylePr w:type="lastRow">
      <w:rPr>
        <w:b/>
        <w:bCs/>
      </w:rPr>
      <w:tcPr>
        <w:tcBorders>
          <w:left w:val="nil"/>
          <w:bottom w:val="nil"/>
          <w:right w:val="nil"/>
          <w:insideH w:val="nil"/>
          <w:insideV w:val="nil"/>
        </w:tcBorders>
        <w:shd w:val="clear" w:color="auto" w:fill="CCE8CF" w:themeFill="background1"/>
      </w:tcPr>
    </w:tblStylePr>
    <w:tblStylePr w:type="firstCol">
      <w:pPr>
        <w:jc w:val="right"/>
      </w:pPr>
      <w:rPr>
        <w:i/>
        <w:iCs/>
      </w:rPr>
      <w:tcPr>
        <w:tcBorders>
          <w:top w:val="nil"/>
          <w:left w:val="nil"/>
          <w:bottom w:val="nil"/>
          <w:insideH w:val="nil"/>
          <w:insideV w:val="nil"/>
        </w:tcBorders>
        <w:shd w:val="clear" w:color="auto" w:fill="CCE8CF" w:themeFill="background1"/>
      </w:tcPr>
    </w:tblStylePr>
    <w:tblStylePr w:type="lastCol">
      <w:rPr>
        <w:i/>
        <w:iCs/>
      </w:rPr>
      <w:tcPr>
        <w:tcBorders>
          <w:top w:val="nil"/>
          <w:bottom w:val="nil"/>
          <w:right w:val="nil"/>
          <w:insideH w:val="nil"/>
          <w:insideV w:val="nil"/>
        </w:tcBorders>
        <w:shd w:val="clear" w:color="auto" w:fill="CCE8CF" w:themeFill="background1"/>
      </w:tcPr>
    </w:tblStylePr>
    <w:tblStylePr w:type="band1Vert">
      <w:tcPr>
        <w:shd w:val="clear" w:color="auto" w:fill="FBE4D5" w:themeFill="accent2" w:themeFillTint="33"/>
      </w:tcPr>
    </w:tblStylePr>
    <w:tblStylePr w:type="band1Horz">
      <w:tcPr>
        <w:shd w:val="clear" w:color="auto" w:fill="FBE4D5" w:themeFill="accent2" w:themeFillTint="33"/>
      </w:tcPr>
    </w:tblStylePr>
    <w:tblStylePr w:type="neCell">
      <w:tcPr>
        <w:tcBorders>
          <w:bottom w:val="single" w:color="F4B083" w:themeColor="accent2" w:themeTint="99" w:sz="4" w:space="0"/>
        </w:tcBorders>
      </w:tcPr>
    </w:tblStylePr>
    <w:tblStylePr w:type="nwCell">
      <w:tcPr>
        <w:tcBorders>
          <w:bottom w:val="single" w:color="F4B083" w:themeColor="accent2" w:themeTint="99" w:sz="4" w:space="0"/>
        </w:tcBorders>
      </w:tcPr>
    </w:tblStylePr>
    <w:tblStylePr w:type="seCell">
      <w:tcPr>
        <w:tcBorders>
          <w:top w:val="single" w:color="F4B083" w:themeColor="accent2" w:themeTint="99" w:sz="4" w:space="0"/>
        </w:tcBorders>
      </w:tcPr>
    </w:tblStylePr>
    <w:tblStylePr w:type="swCell">
      <w:tcPr>
        <w:tcBorders>
          <w:top w:val="single" w:color="F4B083" w:themeColor="accent2" w:themeTint="99" w:sz="4" w:space="0"/>
        </w:tcBorders>
      </w:tcPr>
    </w:tblStylePr>
  </w:style>
  <w:style w:type="character" w:customStyle="1" w:styleId="59">
    <w:name w:val="标题 3 字符"/>
    <w:basedOn w:val="24"/>
    <w:link w:val="4"/>
    <w:qFormat/>
    <w:uiPriority w:val="9"/>
    <w:rPr>
      <w:b/>
      <w:bCs/>
      <w:sz w:val="32"/>
      <w:szCs w:val="32"/>
    </w:rPr>
  </w:style>
  <w:style w:type="table" w:customStyle="1" w:styleId="60">
    <w:name w:val="样式2"/>
    <w:basedOn w:val="20"/>
    <w:qFormat/>
    <w:uiPriority w:val="99"/>
  </w:style>
  <w:style w:type="table" w:customStyle="1" w:styleId="61">
    <w:name w:val="网格表 5 深色 - 着色 11"/>
    <w:basedOn w:val="20"/>
    <w:qFormat/>
    <w:uiPriority w:val="50"/>
    <w:tblPr>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Pr>
    <w:tcPr>
      <w:shd w:val="clear" w:color="auto" w:fill="D9E2F3" w:themeFill="accent1" w:themeFillTint="33"/>
    </w:tcPr>
    <w:tblStylePr w:type="firstRow">
      <w:rPr>
        <w:b/>
        <w:bCs/>
        <w:color w:val="CCE8CF" w:themeColor="background1"/>
      </w:rPr>
      <w:tcPr>
        <w:tcBorders>
          <w:top w:val="single" w:color="CCE8CF" w:themeColor="background1" w:sz="4" w:space="0"/>
          <w:left w:val="single" w:color="CCE8CF" w:themeColor="background1" w:sz="4" w:space="0"/>
          <w:right w:val="single" w:color="CCE8CF" w:themeColor="background1" w:sz="4" w:space="0"/>
          <w:insideH w:val="nil"/>
          <w:insideV w:val="nil"/>
        </w:tcBorders>
        <w:shd w:val="clear" w:color="auto" w:fill="4472C4" w:themeFill="accent1"/>
      </w:tcPr>
    </w:tblStylePr>
    <w:tblStylePr w:type="lastRow">
      <w:rPr>
        <w:b/>
        <w:bCs/>
        <w:color w:val="CCE8CF" w:themeColor="background1"/>
      </w:rPr>
      <w:tcPr>
        <w:tcBorders>
          <w:left w:val="single" w:color="CCE8CF" w:themeColor="background1" w:sz="4" w:space="0"/>
          <w:bottom w:val="single" w:color="CCE8CF" w:themeColor="background1" w:sz="4" w:space="0"/>
          <w:right w:val="single" w:color="CCE8CF" w:themeColor="background1" w:sz="4" w:space="0"/>
          <w:insideH w:val="nil"/>
          <w:insideV w:val="nil"/>
        </w:tcBorders>
        <w:shd w:val="clear" w:color="auto" w:fill="4472C4" w:themeFill="accent1"/>
      </w:tcPr>
    </w:tblStylePr>
    <w:tblStylePr w:type="firstCol">
      <w:rPr>
        <w:b/>
        <w:bCs/>
        <w:color w:val="CCE8CF" w:themeColor="background1"/>
      </w:rPr>
      <w:tcPr>
        <w:tcBorders>
          <w:top w:val="single" w:color="CCE8CF" w:themeColor="background1" w:sz="4" w:space="0"/>
          <w:left w:val="single" w:color="CCE8CF" w:themeColor="background1" w:sz="4" w:space="0"/>
          <w:bottom w:val="single" w:color="CCE8CF" w:themeColor="background1" w:sz="4" w:space="0"/>
          <w:insideV w:val="nil"/>
        </w:tcBorders>
        <w:shd w:val="clear" w:color="auto" w:fill="4472C4" w:themeFill="accent1"/>
      </w:tcPr>
    </w:tblStylePr>
    <w:tblStylePr w:type="lastCol">
      <w:rPr>
        <w:b/>
        <w:bCs/>
        <w:color w:val="CCE8CF" w:themeColor="background1"/>
      </w:rPr>
      <w:tcPr>
        <w:tcBorders>
          <w:top w:val="single" w:color="CCE8CF" w:themeColor="background1" w:sz="4" w:space="0"/>
          <w:bottom w:val="single" w:color="CCE8CF" w:themeColor="background1" w:sz="4" w:space="0"/>
          <w:right w:val="single" w:color="CCE8C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table" w:customStyle="1" w:styleId="62">
    <w:name w:val="网格表 5 深色 - 着色 52"/>
    <w:basedOn w:val="20"/>
    <w:qFormat/>
    <w:uiPriority w:val="50"/>
    <w:tblPr>
      <w:tblBorders>
        <w:top w:val="single" w:color="CCE8CF" w:themeColor="background1" w:sz="4" w:space="0"/>
        <w:left w:val="single" w:color="CCE8CF" w:themeColor="background1" w:sz="4" w:space="0"/>
        <w:bottom w:val="single" w:color="CCE8CF" w:themeColor="background1" w:sz="4" w:space="0"/>
        <w:right w:val="single" w:color="CCE8CF" w:themeColor="background1" w:sz="4" w:space="0"/>
        <w:insideH w:val="single" w:color="CCE8CF" w:themeColor="background1" w:sz="4" w:space="0"/>
        <w:insideV w:val="single" w:color="CCE8CF" w:themeColor="background1" w:sz="4" w:space="0"/>
      </w:tblBorders>
    </w:tblPr>
    <w:tcPr>
      <w:shd w:val="clear" w:color="auto" w:fill="DEEAF6" w:themeFill="accent5" w:themeFillTint="33"/>
    </w:tcPr>
    <w:tblStylePr w:type="firstRow">
      <w:rPr>
        <w:b/>
        <w:bCs/>
        <w:color w:val="CCE8CF" w:themeColor="background1"/>
      </w:rPr>
      <w:tcPr>
        <w:tcBorders>
          <w:top w:val="single" w:color="CCE8CF" w:themeColor="background1" w:sz="4" w:space="0"/>
          <w:left w:val="single" w:color="CCE8CF" w:themeColor="background1" w:sz="4" w:space="0"/>
          <w:right w:val="single" w:color="CCE8CF" w:themeColor="background1" w:sz="4" w:space="0"/>
          <w:insideH w:val="nil"/>
          <w:insideV w:val="nil"/>
        </w:tcBorders>
        <w:shd w:val="clear" w:color="auto" w:fill="5B9BD5" w:themeFill="accent5"/>
      </w:tcPr>
    </w:tblStylePr>
    <w:tblStylePr w:type="lastRow">
      <w:rPr>
        <w:b/>
        <w:bCs/>
        <w:color w:val="CCE8CF" w:themeColor="background1"/>
      </w:rPr>
      <w:tcPr>
        <w:tcBorders>
          <w:left w:val="single" w:color="CCE8CF" w:themeColor="background1" w:sz="4" w:space="0"/>
          <w:bottom w:val="single" w:color="CCE8CF" w:themeColor="background1" w:sz="4" w:space="0"/>
          <w:right w:val="single" w:color="CCE8CF" w:themeColor="background1" w:sz="4" w:space="0"/>
          <w:insideH w:val="nil"/>
          <w:insideV w:val="nil"/>
        </w:tcBorders>
        <w:shd w:val="clear" w:color="auto" w:fill="5B9BD5" w:themeFill="accent5"/>
      </w:tcPr>
    </w:tblStylePr>
    <w:tblStylePr w:type="firstCol">
      <w:rPr>
        <w:b/>
        <w:bCs/>
        <w:color w:val="CCE8CF" w:themeColor="background1"/>
      </w:rPr>
      <w:tcPr>
        <w:tcBorders>
          <w:top w:val="single" w:color="CCE8CF" w:themeColor="background1" w:sz="4" w:space="0"/>
          <w:left w:val="single" w:color="CCE8CF" w:themeColor="background1" w:sz="4" w:space="0"/>
          <w:bottom w:val="single" w:color="CCE8CF" w:themeColor="background1" w:sz="4" w:space="0"/>
          <w:insideV w:val="nil"/>
        </w:tcBorders>
        <w:shd w:val="clear" w:color="auto" w:fill="5B9BD5" w:themeFill="accent5"/>
      </w:tcPr>
    </w:tblStylePr>
    <w:tblStylePr w:type="lastCol">
      <w:rPr>
        <w:b/>
        <w:bCs/>
        <w:color w:val="CCE8CF" w:themeColor="background1"/>
      </w:rPr>
      <w:tcPr>
        <w:tcBorders>
          <w:top w:val="single" w:color="CCE8CF" w:themeColor="background1" w:sz="4" w:space="0"/>
          <w:bottom w:val="single" w:color="CCE8CF" w:themeColor="background1" w:sz="4" w:space="0"/>
          <w:right w:val="single" w:color="CCE8C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paragraph" w:customStyle="1" w:styleId="63">
    <w:name w:val="TOC Heading"/>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2F5496" w:themeColor="accent1" w:themeShade="BF"/>
      <w:kern w:val="0"/>
      <w:sz w:val="32"/>
      <w:szCs w:val="32"/>
    </w:rPr>
  </w:style>
</w:styles>
</file>

<file path=word/_rels/document.xml.rels><?xml version="1.0" encoding="UTF-8" standalone="yes"?>
<Relationships xmlns="http://schemas.openxmlformats.org/package/2006/relationships"><Relationship Id="rId9" Type="http://schemas.openxmlformats.org/officeDocument/2006/relationships/footer" Target="footer7.xml"/><Relationship Id="rId8" Type="http://schemas.openxmlformats.org/officeDocument/2006/relationships/footer" Target="footer6.xml"/><Relationship Id="rId7" Type="http://schemas.openxmlformats.org/officeDocument/2006/relationships/footer" Target="footer5.xml"/><Relationship Id="rId62" Type="http://schemas.openxmlformats.org/officeDocument/2006/relationships/fontTable" Target="fontTable.xml"/><Relationship Id="rId61" Type="http://schemas.openxmlformats.org/officeDocument/2006/relationships/customXml" Target="../customXml/item3.xml"/><Relationship Id="rId60" Type="http://schemas.openxmlformats.org/officeDocument/2006/relationships/customXml" Target="../customXml/item2.xml"/><Relationship Id="rId6" Type="http://schemas.openxmlformats.org/officeDocument/2006/relationships/footer" Target="footer4.xml"/><Relationship Id="rId59" Type="http://schemas.openxmlformats.org/officeDocument/2006/relationships/numbering" Target="numbering.xml"/><Relationship Id="rId58" Type="http://schemas.openxmlformats.org/officeDocument/2006/relationships/customXml" Target="../customXml/item1.xml"/><Relationship Id="rId57" Type="http://schemas.openxmlformats.org/officeDocument/2006/relationships/image" Target="media/image41.png"/><Relationship Id="rId56" Type="http://schemas.openxmlformats.org/officeDocument/2006/relationships/image" Target="media/image40.png"/><Relationship Id="rId55" Type="http://schemas.openxmlformats.org/officeDocument/2006/relationships/image" Target="media/image39.png"/><Relationship Id="rId54" Type="http://schemas.openxmlformats.org/officeDocument/2006/relationships/image" Target="media/image38.png"/><Relationship Id="rId53" Type="http://schemas.openxmlformats.org/officeDocument/2006/relationships/image" Target="media/image37.png"/><Relationship Id="rId52" Type="http://schemas.openxmlformats.org/officeDocument/2006/relationships/image" Target="media/image36.png"/><Relationship Id="rId51" Type="http://schemas.openxmlformats.org/officeDocument/2006/relationships/image" Target="media/image35.jpeg"/><Relationship Id="rId50" Type="http://schemas.openxmlformats.org/officeDocument/2006/relationships/image" Target="media/image34.jpeg"/><Relationship Id="rId5" Type="http://schemas.openxmlformats.org/officeDocument/2006/relationships/footer" Target="footer3.xml"/><Relationship Id="rId49" Type="http://schemas.openxmlformats.org/officeDocument/2006/relationships/image" Target="media/image33.jpeg"/><Relationship Id="rId48" Type="http://schemas.openxmlformats.org/officeDocument/2006/relationships/image" Target="media/image32.jpeg"/><Relationship Id="rId47" Type="http://schemas.openxmlformats.org/officeDocument/2006/relationships/image" Target="media/image31.jpeg"/><Relationship Id="rId46" Type="http://schemas.openxmlformats.org/officeDocument/2006/relationships/image" Target="media/image30.jpeg"/><Relationship Id="rId45" Type="http://schemas.openxmlformats.org/officeDocument/2006/relationships/image" Target="media/image29.jpeg"/><Relationship Id="rId44" Type="http://schemas.openxmlformats.org/officeDocument/2006/relationships/image" Target="media/image28.jpeg"/><Relationship Id="rId43" Type="http://schemas.openxmlformats.org/officeDocument/2006/relationships/image" Target="media/image27.jpeg"/><Relationship Id="rId42" Type="http://schemas.openxmlformats.org/officeDocument/2006/relationships/image" Target="media/image26.png"/><Relationship Id="rId41" Type="http://schemas.openxmlformats.org/officeDocument/2006/relationships/image" Target="media/image25.png"/><Relationship Id="rId40" Type="http://schemas.openxmlformats.org/officeDocument/2006/relationships/image" Target="media/image24.jpeg"/><Relationship Id="rId4" Type="http://schemas.openxmlformats.org/officeDocument/2006/relationships/footer" Target="footer2.xml"/><Relationship Id="rId39" Type="http://schemas.openxmlformats.org/officeDocument/2006/relationships/image" Target="media/image23.png"/><Relationship Id="rId38" Type="http://schemas.openxmlformats.org/officeDocument/2006/relationships/image" Target="media/image22.png"/><Relationship Id="rId37" Type="http://schemas.openxmlformats.org/officeDocument/2006/relationships/image" Target="media/image21.png"/><Relationship Id="rId36" Type="http://schemas.openxmlformats.org/officeDocument/2006/relationships/image" Target="media/image20.jpeg"/><Relationship Id="rId35" Type="http://schemas.openxmlformats.org/officeDocument/2006/relationships/image" Target="media/image19.jpeg"/><Relationship Id="rId34" Type="http://schemas.openxmlformats.org/officeDocument/2006/relationships/image" Target="media/image18.png"/><Relationship Id="rId33" Type="http://schemas.openxmlformats.org/officeDocument/2006/relationships/image" Target="media/image17.png"/><Relationship Id="rId32" Type="http://schemas.openxmlformats.org/officeDocument/2006/relationships/image" Target="media/image16.png"/><Relationship Id="rId31" Type="http://schemas.openxmlformats.org/officeDocument/2006/relationships/image" Target="media/image15.jpeg"/><Relationship Id="rId30" Type="http://schemas.openxmlformats.org/officeDocument/2006/relationships/image" Target="media/image14.jpeg"/><Relationship Id="rId3" Type="http://schemas.openxmlformats.org/officeDocument/2006/relationships/footer" Target="footer1.xml"/><Relationship Id="rId29" Type="http://schemas.openxmlformats.org/officeDocument/2006/relationships/image" Target="media/image13.jpeg"/><Relationship Id="rId28" Type="http://schemas.openxmlformats.org/officeDocument/2006/relationships/image" Target="media/image12.jpeg"/><Relationship Id="rId27" Type="http://schemas.openxmlformats.org/officeDocument/2006/relationships/image" Target="media/image11.jpeg"/><Relationship Id="rId26" Type="http://schemas.openxmlformats.org/officeDocument/2006/relationships/image" Target="media/image10.jpeg"/><Relationship Id="rId25" Type="http://schemas.openxmlformats.org/officeDocument/2006/relationships/image" Target="media/image9.jpeg"/><Relationship Id="rId24" Type="http://schemas.openxmlformats.org/officeDocument/2006/relationships/image" Target="media/image8.png"/><Relationship Id="rId23" Type="http://schemas.openxmlformats.org/officeDocument/2006/relationships/image" Target="media/image7.jpeg"/><Relationship Id="rId22" Type="http://schemas.openxmlformats.org/officeDocument/2006/relationships/image" Target="media/image6.png"/><Relationship Id="rId21" Type="http://schemas.openxmlformats.org/officeDocument/2006/relationships/image" Target="media/image5.jpeg"/><Relationship Id="rId20" Type="http://schemas.openxmlformats.org/officeDocument/2006/relationships/image" Target="media/image4.jpeg"/><Relationship Id="rId2" Type="http://schemas.openxmlformats.org/officeDocument/2006/relationships/settings" Target="settings.xml"/><Relationship Id="rId19" Type="http://schemas.openxmlformats.org/officeDocument/2006/relationships/image" Target="media/image3.png"/><Relationship Id="rId18" Type="http://schemas.openxmlformats.org/officeDocument/2006/relationships/image" Target="media/image2.jpeg"/><Relationship Id="rId17" Type="http://schemas.openxmlformats.org/officeDocument/2006/relationships/image" Target="media/image1.jpeg"/><Relationship Id="rId16" Type="http://schemas.openxmlformats.org/officeDocument/2006/relationships/theme" Target="theme/theme1.xml"/><Relationship Id="rId15" Type="http://schemas.openxmlformats.org/officeDocument/2006/relationships/footer" Target="footer13.xml"/><Relationship Id="rId14" Type="http://schemas.openxmlformats.org/officeDocument/2006/relationships/footer" Target="footer12.xml"/><Relationship Id="rId13" Type="http://schemas.openxmlformats.org/officeDocument/2006/relationships/footer" Target="footer11.xml"/><Relationship Id="rId12" Type="http://schemas.openxmlformats.org/officeDocument/2006/relationships/footer" Target="footer10.xml"/><Relationship Id="rId11" Type="http://schemas.openxmlformats.org/officeDocument/2006/relationships/footer" Target="footer9.xml"/><Relationship Id="rId10" Type="http://schemas.openxmlformats.org/officeDocument/2006/relationships/footer" Target="footer8.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8"/>
    <customShpInfo spid="_x0000_s1029"/>
    <customShpInfo spid="_x0000_s1030"/>
    <customShpInfo spid="_x0000_s1031"/>
    <customShpInfo spid="_x0000_s1027"/>
    <customShpInfo spid="_x0000_s1026"/>
    <customShpInfo spid="_x0000_s1039"/>
    <customShpInfo spid="_x0000_s1034"/>
    <customShpInfo spid="_x0000_s1035"/>
    <customShpInfo spid="_x0000_s1036"/>
    <customShpInfo spid="_x0000_s1037"/>
    <customShpInfo spid="_x0000_s1033"/>
  </customShpExts>
</s:customData>
</file>

<file path=customXml/item2.xml><?xml version="1.0" encoding="utf-8"?>
<CoverPageProperties xmlns="http://schemas.microsoft.com/office/2006/coverPageProps">
  <PublishDate>2019-01-01T00:00:00</PublishDate>
  <Abstract/>
  <CompanyAddress/>
  <CompanyPhone/>
  <CompanyFax/>
  <CompanyEmail/>
</CoverPageProperties>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5AF091B-3C7A-41E3-B477-F2FDAA23CFDA}">
  <ds:schemaRefs/>
</ds:datastoreItem>
</file>

<file path=customXml/itemProps3.xml><?xml version="1.0" encoding="utf-8"?>
<ds:datastoreItem xmlns:ds="http://schemas.openxmlformats.org/officeDocument/2006/customXml" ds:itemID="{C2D1385C-AE69-4C0A-942F-9E7BDBDDD0AA}">
  <ds:schemaRefs/>
</ds:datastoreItem>
</file>

<file path=docProps/app.xml><?xml version="1.0" encoding="utf-8"?>
<Properties xmlns="http://schemas.openxmlformats.org/officeDocument/2006/extended-properties" xmlns:vt="http://schemas.openxmlformats.org/officeDocument/2006/docPropsVTypes">
  <Template>Normal</Template>
  <Company>苏州高博软件技术职业学院</Company>
  <Pages>79</Pages>
  <Words>46200</Words>
  <Characters>49211</Characters>
  <Lines>417</Lines>
  <Paragraphs>117</Paragraphs>
  <TotalTime>0</TotalTime>
  <ScaleCrop>false</ScaleCrop>
  <LinksUpToDate>false</LinksUpToDate>
  <CharactersWithSpaces>50917</CharactersWithSpaces>
  <Application>WPS Office_11.1.0.13703_F1E327BC-269C-435d-A152-05C5408002CA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2020-10-16T01:56:00Z</dcterms:created>
  <dc:creator>雷六七</dc:creator>
  <cp:lastModifiedBy>胡玮</cp:lastModifiedBy>
  <cp:lastPrinted>2018-12-25T01:39:00Z</cp:lastPrinted>
  <dcterms:modified xsi:type="dcterms:W3CDTF">2023-01-13T04:00:12Z</dcterms:modified>
  <dc:title>高等职业教育质量年度报告（2023）</dc:title>
  <cp:revision>1288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AC9087BA0DF04B02B894DB4694E1F78D</vt:lpwstr>
  </property>
</Properties>
</file>