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60" w:lineRule="exact"/>
        <w:jc w:val="both"/>
        <w:rPr>
          <w:rFonts w:hint="default" w:ascii="黑体" w:hAnsi="黑体" w:eastAsia="黑体" w:cs="黑体"/>
          <w:sz w:val="32"/>
          <w:szCs w:val="32"/>
          <w:shd w:val="clear" w:color="auto" w:fill="FFFFFF"/>
          <w:lang w:val="en-US"/>
        </w:rPr>
      </w:pPr>
      <w:r>
        <w:rPr>
          <w:rFonts w:hint="default" w:ascii="Times New Roman" w:hAnsi="Times New Roman" w:eastAsia="黑体" w:cs="Times New Roman"/>
          <w:sz w:val="32"/>
          <w:szCs w:val="40"/>
          <w:lang w:eastAsia="zh-CN"/>
        </w:rPr>
        <w:t>附件</w:t>
      </w:r>
      <w:r>
        <w:rPr>
          <w:rFonts w:hint="eastAsia" w:ascii="Times New Roman" w:hAnsi="Times New Roman" w:eastAsia="黑体" w:cs="Times New Roman"/>
          <w:sz w:val="32"/>
          <w:szCs w:val="40"/>
          <w:lang w:val="en-US" w:eastAsia="zh-CN"/>
        </w:rPr>
        <w:t>1</w:t>
      </w:r>
    </w:p>
    <w:p>
      <w:pPr>
        <w:jc w:val="center"/>
        <w:rPr>
          <w:rFonts w:ascii="Times New Roman" w:hAnsi="Times New Roman" w:eastAsia="方正小标宋简体" w:cs="Times New Roman"/>
          <w:color w:val="000000"/>
          <w:sz w:val="40"/>
          <w:szCs w:val="40"/>
          <w14:ligatures w14:val="none"/>
        </w:rPr>
      </w:pPr>
    </w:p>
    <w:p>
      <w:pPr>
        <w:jc w:val="center"/>
        <w:rPr>
          <w:rFonts w:ascii="Times New Roman" w:hAnsi="Times New Roman" w:eastAsia="方正小标宋简体" w:cs="Times New Roman"/>
          <w:color w:val="000000"/>
          <w:sz w:val="40"/>
          <w:szCs w:val="40"/>
          <w14:ligatures w14:val="none"/>
        </w:rPr>
      </w:pPr>
      <w:r>
        <w:rPr>
          <w:rFonts w:hint="eastAsia" w:ascii="Times New Roman" w:hAnsi="Times New Roman" w:eastAsia="方正小标宋简体" w:cs="Times New Roman"/>
          <w:color w:val="000000"/>
          <w:sz w:val="40"/>
          <w:szCs w:val="40"/>
          <w14:ligatures w14:val="none"/>
        </w:rPr>
        <w:t>2023年职业教育优质教材建设指南</w:t>
      </w:r>
    </w:p>
    <w:p>
      <w:pPr>
        <w:spacing w:line="578" w:lineRule="exact"/>
        <w:ind w:firstLine="643" w:firstLineChars="200"/>
        <w:rPr>
          <w:rFonts w:ascii="Times New Roman" w:hAnsi="Times New Roman" w:eastAsia="仿宋_GB2312" w:cs="Times New Roman"/>
          <w:b/>
          <w:bCs/>
          <w:color w:val="000000"/>
          <w:kern w:val="0"/>
          <w:sz w:val="32"/>
          <w:szCs w:val="32"/>
          <w14:ligatures w14:val="none"/>
        </w:rPr>
      </w:pPr>
    </w:p>
    <w:p>
      <w:pPr>
        <w:spacing w:line="578" w:lineRule="exact"/>
        <w:ind w:firstLine="643" w:firstLineChars="200"/>
        <w:rPr>
          <w:rFonts w:ascii="Times New Roman" w:hAnsi="Times New Roman" w:eastAsia="仿宋_GB2312" w:cs="Times New Roman"/>
          <w:color w:val="000000"/>
          <w:kern w:val="0"/>
          <w:sz w:val="32"/>
          <w:szCs w:val="32"/>
          <w14:ligatures w14:val="none"/>
        </w:rPr>
      </w:pPr>
      <w:r>
        <w:rPr>
          <w:rFonts w:hint="eastAsia" w:ascii="Times New Roman" w:hAnsi="Times New Roman" w:eastAsia="仿宋_GB2312" w:cs="Times New Roman"/>
          <w:b/>
          <w:bCs/>
          <w:color w:val="000000"/>
          <w:kern w:val="0"/>
          <w:sz w:val="32"/>
          <w:szCs w:val="32"/>
          <w14:ligatures w14:val="none"/>
        </w:rPr>
        <w:t>一、建设项目</w:t>
      </w:r>
    </w:p>
    <w:p>
      <w:pPr>
        <w:spacing w:line="578" w:lineRule="exact"/>
        <w:ind w:firstLine="640" w:firstLineChars="200"/>
        <w:rPr>
          <w:rFonts w:ascii="Times New Roman" w:hAnsi="Times New Roman" w:eastAsia="仿宋_GB2312" w:cs="Times New Roman"/>
          <w:color w:val="000000"/>
          <w:kern w:val="0"/>
          <w:sz w:val="32"/>
          <w:szCs w:val="32"/>
          <w14:ligatures w14:val="none"/>
        </w:rPr>
      </w:pP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14:ligatures w14:val="none"/>
        </w:rPr>
        <w:t>围绕高素质技术技能人才培养，服务专业改革与发展，重点面向专业核心课程，建设由行业（企业）牵头或行业（企业）、学校共同开发，体现协同育人、彰显类型特色的职业教育产教融合优质教材。支持各地在首批“十四五”职业教育国家规划教材范围内，认</w:t>
      </w:r>
      <w:bookmarkStart w:id="0" w:name="_GoBack"/>
      <w:bookmarkEnd w:id="0"/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14:ligatures w14:val="none"/>
        </w:rPr>
        <w:t>定首批1000种左右全国性职业教育优质教材，</w:t>
      </w:r>
    </w:p>
    <w:p>
      <w:pPr>
        <w:spacing w:line="578" w:lineRule="exact"/>
        <w:ind w:firstLine="643" w:firstLineChars="200"/>
        <w:rPr>
          <w:rFonts w:ascii="Times New Roman" w:hAnsi="Times New Roman" w:eastAsia="仿宋_GB2312" w:cs="Times New Roman"/>
          <w:color w:val="000000"/>
          <w:kern w:val="0"/>
          <w:sz w:val="32"/>
          <w:szCs w:val="32"/>
          <w14:ligatures w14:val="none"/>
        </w:rPr>
      </w:pPr>
      <w:r>
        <w:rPr>
          <w:rFonts w:hint="eastAsia" w:ascii="Times New Roman" w:hAnsi="Times New Roman" w:eastAsia="仿宋_GB2312" w:cs="Times New Roman"/>
          <w:b/>
          <w:bCs/>
          <w:color w:val="000000"/>
          <w:kern w:val="0"/>
          <w:sz w:val="32"/>
          <w:szCs w:val="32"/>
          <w14:ligatures w14:val="none"/>
        </w:rPr>
        <w:t>二、推荐条件</w:t>
      </w:r>
    </w:p>
    <w:p>
      <w:pPr>
        <w:spacing w:line="578" w:lineRule="exact"/>
        <w:ind w:firstLine="640" w:firstLineChars="200"/>
        <w:rPr>
          <w:rFonts w:ascii="Times New Roman" w:hAnsi="Times New Roman" w:eastAsia="仿宋_GB2312" w:cs="Times New Roman"/>
          <w:color w:val="000000"/>
          <w:kern w:val="0"/>
          <w:sz w:val="32"/>
          <w:szCs w:val="32"/>
          <w14:ligatures w14:val="none"/>
        </w:rPr>
      </w:pP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14:ligatures w14:val="none"/>
        </w:rPr>
        <w:t>1.推荐教材应为首批“十四五”职业教育国家规划教材名单范围内教材，名单见《教育部办公厅关于公布首批“十四五”职业教育国家规划教材书目的通知》（教职成厅函〔2023〕19号）附件1和《国家教材委员会关于首届全国教材建设奖奖励的决定》（国教材〔2021〕6号）附件2中职、高职类。</w:t>
      </w:r>
    </w:p>
    <w:p>
      <w:pPr>
        <w:spacing w:line="578" w:lineRule="exact"/>
        <w:ind w:firstLine="640" w:firstLineChars="200"/>
        <w:rPr>
          <w:rFonts w:ascii="Times New Roman" w:hAnsi="Times New Roman" w:eastAsia="仿宋_GB2312" w:cs="Times New Roman"/>
          <w:color w:val="000000"/>
          <w:kern w:val="0"/>
          <w:sz w:val="32"/>
          <w:szCs w:val="32"/>
          <w14:ligatures w14:val="none"/>
        </w:rPr>
      </w:pP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14:ligatures w14:val="none"/>
        </w:rPr>
        <w:t>2.推荐教材应为产教融合特征明显的职业教育专业课程教材，包含专业基础课、专业核心课、专业拓展课以及实践性教学环节有关课程等（课程设置分类参考各专业教学标准）。</w:t>
      </w:r>
    </w:p>
    <w:p>
      <w:pPr>
        <w:spacing w:line="578" w:lineRule="exact"/>
        <w:ind w:firstLine="640" w:firstLineChars="200"/>
        <w:rPr>
          <w:rFonts w:ascii="Times New Roman" w:hAnsi="Times New Roman" w:eastAsia="仿宋_GB2312" w:cs="Times New Roman"/>
          <w:color w:val="000000"/>
          <w:kern w:val="0"/>
          <w:sz w:val="32"/>
          <w:szCs w:val="32"/>
          <w14:ligatures w14:val="none"/>
        </w:rPr>
      </w:pP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14:ligatures w14:val="none"/>
        </w:rPr>
        <w:t>3.教材主编应在本学科专业有深入研究、较高的造诣，或是全国知名专家、学术领军人物、行业企业专家，具有高级专业技术职务；编写团队应包含相关学科专业领域专家、教科研人员、一线教师、行业企业技术人员和能工巧匠等。</w:t>
      </w:r>
    </w:p>
    <w:p>
      <w:pPr>
        <w:spacing w:line="578" w:lineRule="exact"/>
        <w:ind w:firstLine="640" w:firstLineChars="200"/>
        <w:rPr>
          <w:rFonts w:ascii="Times New Roman" w:hAnsi="Times New Roman" w:eastAsia="仿宋_GB2312" w:cs="Times New Roman"/>
          <w:color w:val="000000"/>
          <w:kern w:val="0"/>
          <w:sz w:val="32"/>
          <w:szCs w:val="32"/>
          <w14:ligatures w14:val="none"/>
        </w:rPr>
      </w:pP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14:ligatures w14:val="none"/>
        </w:rPr>
        <w:t>4.教材内容充分反映行业前沿技术，积极体现产业发展的新技术、新工艺、新规范、新标准，呈现形式要新颖、生动活泼、丰富多彩；鼓励和支持以工作分析为依据，以项目、任务、活动、案例等为载体的教材编写方式。</w:t>
      </w:r>
    </w:p>
    <w:p>
      <w:pPr>
        <w:spacing w:line="578" w:lineRule="exact"/>
        <w:ind w:firstLine="640" w:firstLineChars="200"/>
        <w:rPr>
          <w:rFonts w:ascii="Times New Roman" w:hAnsi="Times New Roman" w:eastAsia="仿宋_GB2312" w:cs="Times New Roman"/>
          <w:color w:val="000000"/>
          <w:kern w:val="0"/>
          <w:sz w:val="32"/>
          <w:szCs w:val="32"/>
          <w14:ligatures w14:val="none"/>
        </w:rPr>
      </w:pP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14:ligatures w14:val="none"/>
        </w:rPr>
        <w:t>5.同一主编申报优质教材原则上不超过2种，同一编写单位推荐的优质教材原则上不超过8种。</w:t>
      </w:r>
    </w:p>
    <w:p>
      <w:pPr>
        <w:spacing w:line="578" w:lineRule="exact"/>
        <w:ind w:firstLine="640" w:firstLineChars="200"/>
        <w:rPr>
          <w:rFonts w:ascii="Times New Roman" w:hAnsi="Times New Roman" w:eastAsia="仿宋_GB2312" w:cs="Times New Roman"/>
          <w:color w:val="000000"/>
          <w:kern w:val="0"/>
          <w:sz w:val="32"/>
          <w:szCs w:val="32"/>
          <w14:ligatures w14:val="none"/>
        </w:rPr>
      </w:pP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14:ligatures w14:val="none"/>
        </w:rPr>
        <w:t>6.各省认定优质教材要兼顾中职、高职专科、职教本科等不同层次教育，支持职业教育新形态、数字化教材的建设与推广。各省认定的优质教材中，专业基础课教材占比不超过30%。</w:t>
      </w:r>
    </w:p>
    <w:p>
      <w:pPr>
        <w:spacing w:line="578" w:lineRule="exact"/>
        <w:ind w:firstLine="643" w:firstLineChars="200"/>
        <w:rPr>
          <w:rFonts w:ascii="Times New Roman" w:hAnsi="Times New Roman" w:eastAsia="仿宋_GB2312" w:cs="Times New Roman"/>
          <w:color w:val="000000"/>
          <w:kern w:val="0"/>
          <w:sz w:val="32"/>
          <w:szCs w:val="32"/>
          <w14:ligatures w14:val="none"/>
        </w:rPr>
      </w:pPr>
      <w:r>
        <w:rPr>
          <w:rFonts w:hint="eastAsia" w:ascii="Times New Roman" w:hAnsi="Times New Roman" w:eastAsia="仿宋_GB2312" w:cs="Times New Roman"/>
          <w:b/>
          <w:bCs/>
          <w:color w:val="000000"/>
          <w:kern w:val="0"/>
          <w:sz w:val="32"/>
          <w:szCs w:val="32"/>
          <w14:ligatures w14:val="none"/>
        </w:rPr>
        <w:t>三、推荐方式</w:t>
      </w:r>
    </w:p>
    <w:p>
      <w:pPr>
        <w:spacing w:line="578" w:lineRule="exact"/>
        <w:ind w:firstLine="640" w:firstLineChars="200"/>
        <w:rPr>
          <w:rFonts w:ascii="Times New Roman" w:hAnsi="Times New Roman" w:eastAsia="仿宋_GB2312" w:cs="Times New Roman"/>
          <w:color w:val="000000"/>
          <w:kern w:val="0"/>
          <w:sz w:val="32"/>
          <w:szCs w:val="32"/>
          <w14:ligatures w14:val="none"/>
        </w:rPr>
      </w:pP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14:ligatures w14:val="none"/>
        </w:rPr>
        <w:t>本次建设认定工作全程在网络平台上进行，各省级教育行政部门设管理员账号，并为各校开放平台账号注册。</w:t>
      </w:r>
    </w:p>
    <w:p>
      <w:pPr>
        <w:spacing w:line="578" w:lineRule="exact"/>
        <w:ind w:firstLine="640" w:firstLineChars="200"/>
        <w:rPr>
          <w:rFonts w:ascii="Times New Roman" w:hAnsi="Times New Roman" w:eastAsia="仿宋_GB2312" w:cs="Times New Roman"/>
          <w:color w:val="000000"/>
          <w:kern w:val="0"/>
          <w:sz w:val="32"/>
          <w:szCs w:val="32"/>
          <w14:ligatures w14:val="none"/>
        </w:rPr>
      </w:pP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14:ligatures w14:val="none"/>
        </w:rPr>
        <w:t>教育部直属高校推荐教材经公示后，报所在省份教育行政部门统一审核认定。</w:t>
      </w:r>
    </w:p>
    <w:p>
      <w:pPr>
        <w:spacing w:line="578" w:lineRule="exact"/>
        <w:ind w:firstLine="640" w:firstLineChars="200"/>
        <w:rPr>
          <w:rFonts w:ascii="Times New Roman" w:hAnsi="Times New Roman" w:eastAsia="仿宋_GB2312" w:cs="Times New Roman"/>
          <w:color w:val="000000"/>
          <w:kern w:val="0"/>
          <w:sz w:val="32"/>
          <w:szCs w:val="32"/>
          <w14:ligatures w14:val="none"/>
        </w:rPr>
      </w:pP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14:ligatures w14:val="none"/>
        </w:rPr>
        <w:t>涉及需填写意见或单位盖章的材料，可下载填写或盖章后上传平台。</w:t>
      </w:r>
    </w:p>
    <w:p>
      <w:pPr>
        <w:spacing w:line="578" w:lineRule="exact"/>
        <w:ind w:firstLine="643" w:firstLineChars="200"/>
        <w:rPr>
          <w:rFonts w:ascii="Times New Roman" w:hAnsi="Times New Roman" w:eastAsia="仿宋_GB2312" w:cs="Times New Roman"/>
          <w:color w:val="000000"/>
          <w:kern w:val="0"/>
          <w:sz w:val="32"/>
          <w:szCs w:val="32"/>
          <w14:ligatures w14:val="none"/>
        </w:rPr>
      </w:pPr>
      <w:r>
        <w:rPr>
          <w:rFonts w:hint="eastAsia" w:ascii="Times New Roman" w:hAnsi="Times New Roman" w:eastAsia="仿宋_GB2312" w:cs="Times New Roman"/>
          <w:b/>
          <w:bCs/>
          <w:color w:val="000000"/>
          <w:kern w:val="0"/>
          <w:sz w:val="32"/>
          <w:szCs w:val="32"/>
          <w14:ligatures w14:val="none"/>
        </w:rPr>
        <w:t>四、建设指标</w:t>
      </w:r>
    </w:p>
    <w:p>
      <w:pPr>
        <w:spacing w:line="578" w:lineRule="exact"/>
        <w:ind w:firstLine="640" w:firstLineChars="200"/>
        <w:rPr>
          <w:rFonts w:ascii="Times New Roman" w:hAnsi="Times New Roman" w:eastAsia="仿宋_GB2312" w:cs="Times New Roman"/>
          <w:color w:val="000000"/>
          <w:kern w:val="0"/>
          <w:sz w:val="32"/>
          <w:szCs w:val="32"/>
          <w14:ligatures w14:val="none"/>
        </w:rPr>
      </w:pP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14:ligatures w14:val="none"/>
        </w:rPr>
        <w:t>以首批“十四五”职业教育国家规划教材为基数，根据各省新申报入选的教材比例，分省测算并确定建设和认定指标（分省发送）。教育部直属高校推荐指标纳入所在省份，不另设指标。</w:t>
      </w:r>
    </w:p>
    <w:p>
      <w:pPr>
        <w:spacing w:line="578" w:lineRule="exact"/>
        <w:ind w:firstLine="643" w:firstLineChars="200"/>
        <w:rPr>
          <w:rFonts w:ascii="Times New Roman" w:hAnsi="Times New Roman" w:eastAsia="仿宋_GB2312" w:cs="Times New Roman"/>
          <w:color w:val="000000"/>
          <w:kern w:val="0"/>
          <w:sz w:val="32"/>
          <w:szCs w:val="32"/>
          <w14:ligatures w14:val="none"/>
        </w:rPr>
      </w:pPr>
      <w:r>
        <w:rPr>
          <w:rFonts w:hint="eastAsia" w:ascii="Times New Roman" w:hAnsi="Times New Roman" w:eastAsia="仿宋_GB2312" w:cs="Times New Roman"/>
          <w:b/>
          <w:bCs/>
          <w:color w:val="000000"/>
          <w:kern w:val="0"/>
          <w:sz w:val="32"/>
          <w:szCs w:val="32"/>
          <w14:ligatures w14:val="none"/>
        </w:rPr>
        <w:t>五、建设流程</w:t>
      </w:r>
    </w:p>
    <w:p>
      <w:pPr>
        <w:spacing w:line="578" w:lineRule="exact"/>
        <w:ind w:firstLine="640" w:firstLineChars="200"/>
        <w:rPr>
          <w:rFonts w:ascii="Times New Roman" w:hAnsi="Times New Roman" w:eastAsia="仿宋_GB2312" w:cs="Times New Roman"/>
          <w:color w:val="000000"/>
          <w:kern w:val="0"/>
          <w:sz w:val="32"/>
          <w:szCs w:val="32"/>
          <w14:ligatures w14:val="none"/>
        </w:rPr>
      </w:pP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14:ligatures w14:val="none"/>
        </w:rPr>
        <w:t>1.校级推荐（2023年8月10日—9月12日）：各院校进一步深化优质教材建设，根据建设指南，结合首批“十四五”职业教育国家规划教材入选情况组织校内推荐，经公示后在网络推荐平台中按时填报推荐教材相关信息。</w:t>
      </w:r>
    </w:p>
    <w:p>
      <w:pPr>
        <w:spacing w:line="578" w:lineRule="exact"/>
        <w:ind w:firstLine="640" w:firstLineChars="200"/>
        <w:rPr>
          <w:rFonts w:ascii="Times New Roman" w:hAnsi="Times New Roman" w:eastAsia="仿宋_GB2312" w:cs="Times New Roman"/>
          <w:color w:val="000000"/>
          <w:kern w:val="0"/>
          <w:sz w:val="32"/>
          <w:szCs w:val="32"/>
          <w14:ligatures w14:val="none"/>
        </w:rPr>
      </w:pP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14:ligatures w14:val="none"/>
        </w:rPr>
        <w:t>2.省级认定（2023年9月13日—10月23日）：各省级教育行政部门组织专家，根据各校推荐情况开展评议，经公示后确定本省拟认定的教材，汇总盖章通过平台报送教育部职成司。</w:t>
      </w:r>
    </w:p>
    <w:p>
      <w:pPr>
        <w:spacing w:line="578" w:lineRule="exact"/>
        <w:ind w:firstLine="640" w:firstLineChars="200"/>
        <w:rPr>
          <w:rFonts w:ascii="Times New Roman" w:hAnsi="Times New Roman" w:eastAsia="仿宋_GB2312" w:cs="Times New Roman"/>
          <w:color w:val="000000"/>
          <w:kern w:val="0"/>
          <w:sz w:val="32"/>
          <w:szCs w:val="32"/>
          <w14:ligatures w14:val="none"/>
        </w:rPr>
      </w:pP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14:ligatures w14:val="none"/>
        </w:rPr>
        <w:t>3.组织复核（2023年10月24日—11月底）：教育部职成司根据各省认定情况组织专家复核，形成优质教材最终认定名单并反馈各省级教育行政部门。</w:t>
      </w:r>
    </w:p>
    <w:p>
      <w:pPr>
        <w:spacing w:line="578" w:lineRule="exact"/>
        <w:ind w:firstLine="640" w:firstLineChars="200"/>
        <w:rPr>
          <w:rFonts w:ascii="Times New Roman" w:hAnsi="Times New Roman" w:eastAsia="仿宋_GB2312" w:cs="Times New Roman"/>
          <w:color w:val="000000"/>
          <w:kern w:val="0"/>
          <w:sz w:val="32"/>
          <w:szCs w:val="32"/>
          <w14:ligatures w14:val="none"/>
        </w:rPr>
      </w:pP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14:ligatures w14:val="none"/>
        </w:rPr>
        <w:t>4.宣传推介（2023年11月底—2025年）：教育部职成司、各省级教育行政部门对认定教材进行宣传、推广，通过支持各地持续建设、使用，大幅提升优质教材的影响力和选用比例，有效发挥优质专业课程教材的示范辐射作用。</w:t>
      </w:r>
    </w:p>
    <w:p>
      <w:pPr>
        <w:spacing w:line="578" w:lineRule="exact"/>
        <w:ind w:firstLine="640" w:firstLineChars="200"/>
        <w:rPr>
          <w:rFonts w:ascii="Times New Roman" w:hAnsi="Times New Roman" w:eastAsia="仿宋_GB2312" w:cs="Times New Roman"/>
          <w:color w:val="000000"/>
          <w:kern w:val="0"/>
          <w:sz w:val="32"/>
          <w:szCs w:val="32"/>
          <w14:ligatures w14:val="none"/>
        </w:rPr>
      </w:pP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14:ligatures w14:val="none"/>
        </w:rPr>
        <w:t>5.持续建设（2024年—2025年）：结合第二批“十四五”职业教育国家规划教材遴选、职业院校教材选用使用监测工作，支持各地开展持续建设，有关工作安排另行通知。</w:t>
      </w:r>
    </w:p>
    <w:p>
      <w:pPr>
        <w:spacing w:line="578" w:lineRule="exact"/>
        <w:ind w:firstLine="640" w:firstLineChars="200"/>
        <w:rPr>
          <w:rFonts w:ascii="Times New Roman" w:hAnsi="Times New Roman" w:eastAsia="仿宋_GB2312" w:cs="Times New Roman"/>
          <w:color w:val="000000"/>
          <w:kern w:val="0"/>
          <w:sz w:val="32"/>
          <w:szCs w:val="32"/>
          <w14:ligatures w14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k0N2EzYjg3OWMxMTg5OTQ1ODliOGY1ZjZjMjI0ODYifQ=="/>
  </w:docVars>
  <w:rsids>
    <w:rsidRoot w:val="00FC2628"/>
    <w:rsid w:val="00460B08"/>
    <w:rsid w:val="00BE4829"/>
    <w:rsid w:val="00C45CA9"/>
    <w:rsid w:val="00D03B86"/>
    <w:rsid w:val="00FA2F90"/>
    <w:rsid w:val="00FC2628"/>
    <w:rsid w:val="3E123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paragraph" w:styleId="3">
    <w:name w:val="heading 2"/>
    <w:basedOn w:val="1"/>
    <w:next w:val="1"/>
    <w:link w:val="13"/>
    <w:qFormat/>
    <w:uiPriority w:val="9"/>
    <w:pPr>
      <w:widowControl/>
      <w:spacing w:before="100" w:beforeAutospacing="1" w:after="100" w:afterAutospacing="1"/>
      <w:jc w:val="left"/>
      <w:outlineLvl w:val="1"/>
    </w:pPr>
    <w:rPr>
      <w:rFonts w:ascii="宋体" w:hAnsi="宋体" w:eastAsia="宋体" w:cs="宋体"/>
      <w:b/>
      <w:bCs/>
      <w:kern w:val="0"/>
      <w:sz w:val="36"/>
      <w:szCs w:val="36"/>
      <w14:ligatures w14:val="none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rFonts w:ascii="宋体" w:hAnsi="宋体" w:cs="宋体"/>
      <w:szCs w:val="30"/>
      <w:lang w:val="zh-CN" w:bidi="zh-CN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  <w14:ligatures w14:val="none"/>
    </w:rPr>
  </w:style>
  <w:style w:type="character" w:styleId="9">
    <w:name w:val="Strong"/>
    <w:basedOn w:val="8"/>
    <w:qFormat/>
    <w:uiPriority w:val="22"/>
    <w:rPr>
      <w:b/>
      <w:bCs/>
    </w:rPr>
  </w:style>
  <w:style w:type="character" w:styleId="10">
    <w:name w:val="Hyperlink"/>
    <w:basedOn w:val="8"/>
    <w:semiHidden/>
    <w:unhideWhenUsed/>
    <w:qFormat/>
    <w:uiPriority w:val="99"/>
    <w:rPr>
      <w:color w:val="0000FF"/>
      <w:u w:val="single"/>
    </w:rPr>
  </w:style>
  <w:style w:type="character" w:customStyle="1" w:styleId="11">
    <w:name w:val="页眉 字符"/>
    <w:basedOn w:val="8"/>
    <w:link w:val="5"/>
    <w:qFormat/>
    <w:uiPriority w:val="99"/>
    <w:rPr>
      <w:sz w:val="18"/>
      <w:szCs w:val="18"/>
    </w:rPr>
  </w:style>
  <w:style w:type="character" w:customStyle="1" w:styleId="12">
    <w:name w:val="页脚 字符"/>
    <w:basedOn w:val="8"/>
    <w:link w:val="4"/>
    <w:qFormat/>
    <w:uiPriority w:val="99"/>
    <w:rPr>
      <w:sz w:val="18"/>
      <w:szCs w:val="18"/>
    </w:rPr>
  </w:style>
  <w:style w:type="character" w:customStyle="1" w:styleId="13">
    <w:name w:val="标题 2 字符"/>
    <w:basedOn w:val="8"/>
    <w:link w:val="3"/>
    <w:qFormat/>
    <w:uiPriority w:val="9"/>
    <w:rPr>
      <w:rFonts w:ascii="宋体" w:hAnsi="宋体" w:eastAsia="宋体" w:cs="宋体"/>
      <w:b/>
      <w:bCs/>
      <w:kern w:val="0"/>
      <w:sz w:val="36"/>
      <w:szCs w:val="36"/>
      <w14:ligatures w14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1311</Words>
  <Characters>1367</Characters>
  <Lines>10</Lines>
  <Paragraphs>2</Paragraphs>
  <TotalTime>67</TotalTime>
  <ScaleCrop>false</ScaleCrop>
  <LinksUpToDate>false</LinksUpToDate>
  <CharactersWithSpaces>1367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2023-07-30T09:28:00Z</dcterms:created>
  <dc:creator>HUAWEI</dc:creator>
  <cp:lastModifiedBy>李国兵</cp:lastModifiedBy>
  <dcterms:modified xsi:type="dcterms:W3CDTF">2023-08-28T17:47:11Z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3C3AE21DE50345DCB79F711EEF5912BD_12</vt:lpwstr>
  </property>
</Properties>
</file>