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附件1</w:t>
      </w:r>
    </w:p>
    <w:p>
      <w:pPr>
        <w:spacing w:before="156" w:beforeLines="50"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苏州市职业院校</w:t>
      </w:r>
    </w:p>
    <w:p>
      <w:pPr>
        <w:spacing w:before="156" w:beforeLines="50"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“课堂革命”典型案例相关要求</w:t>
      </w:r>
    </w:p>
    <w:p>
      <w:pPr>
        <w:jc w:val="center"/>
        <w:rPr>
          <w:rFonts w:ascii="楷体_GB2312" w:eastAsia="楷体_GB2312"/>
          <w:sz w:val="32"/>
          <w:szCs w:val="32"/>
        </w:rPr>
      </w:pPr>
    </w:p>
    <w:p>
      <w:pPr>
        <w:spacing w:line="360" w:lineRule="auto"/>
        <w:ind w:firstLine="800" w:firstLineChars="250"/>
        <w:outlineLvl w:val="0"/>
        <w:rPr>
          <w:rFonts w:ascii="仿宋" w:hAnsi="仿宋" w:eastAsia="仿宋" w:cs="仿宋"/>
          <w:sz w:val="32"/>
          <w:szCs w:val="32"/>
        </w:rPr>
      </w:pPr>
      <w:r>
        <w:rPr>
          <w:rFonts w:hint="eastAsia" w:ascii="仿宋" w:hAnsi="仿宋" w:eastAsia="仿宋" w:cs="仿宋"/>
          <w:sz w:val="32"/>
          <w:szCs w:val="32"/>
        </w:rPr>
        <w:t>职业教育“课堂革命”是指以教师个体或团队基于职业教育实践、为了推进职业教育教学发展、依托课堂教学实践而进行的教育科学研究活动。结合学校实际情况，对案例具体要求如下：</w:t>
      </w:r>
    </w:p>
    <w:p>
      <w:pPr>
        <w:spacing w:line="360" w:lineRule="auto"/>
        <w:ind w:firstLine="800" w:firstLineChars="250"/>
        <w:outlineLvl w:val="0"/>
        <w:rPr>
          <w:rFonts w:ascii="黑体" w:hAnsi="黑体" w:eastAsia="黑体"/>
          <w:sz w:val="32"/>
          <w:szCs w:val="32"/>
        </w:rPr>
      </w:pPr>
      <w:r>
        <w:rPr>
          <w:rFonts w:hint="eastAsia" w:ascii="黑体" w:hAnsi="黑体" w:eastAsia="黑体"/>
          <w:sz w:val="32"/>
          <w:szCs w:val="32"/>
        </w:rPr>
        <w:t>一、体现“教、学、做”合一</w:t>
      </w:r>
    </w:p>
    <w:p>
      <w:pPr>
        <w:spacing w:line="360" w:lineRule="auto"/>
        <w:ind w:firstLine="800" w:firstLineChars="250"/>
        <w:outlineLvl w:val="0"/>
        <w:rPr>
          <w:rFonts w:ascii="仿宋" w:hAnsi="仿宋" w:eastAsia="仿宋" w:cs="仿宋"/>
          <w:sz w:val="32"/>
          <w:szCs w:val="32"/>
        </w:rPr>
      </w:pPr>
      <w:r>
        <w:rPr>
          <w:rFonts w:hint="eastAsia" w:ascii="仿宋" w:hAnsi="仿宋" w:eastAsia="仿宋" w:cs="仿宋"/>
          <w:sz w:val="32"/>
          <w:szCs w:val="32"/>
        </w:rPr>
        <w:t>“课堂革命”的水平决定教育改革的深度和师生发展的高度。职业教育的教学过程既是“教”的过程，又是“学”的过程，也是师生直接参与社会生产生活——“做”的过程。“课堂革命”案例要体现人才培养过程的“教、学、做”合一，进而全面推进现代职业教育制度的建立，同时更好地促进师生的多元化发展。</w:t>
      </w:r>
    </w:p>
    <w:p>
      <w:pPr>
        <w:spacing w:line="360" w:lineRule="auto"/>
        <w:ind w:firstLine="800" w:firstLineChars="250"/>
        <w:outlineLvl w:val="0"/>
        <w:rPr>
          <w:rFonts w:ascii="黑体" w:hAnsi="黑体" w:eastAsia="黑体"/>
          <w:sz w:val="32"/>
          <w:szCs w:val="32"/>
        </w:rPr>
      </w:pPr>
      <w:r>
        <w:rPr>
          <w:rFonts w:hint="eastAsia" w:ascii="黑体" w:hAnsi="黑体" w:eastAsia="黑体"/>
          <w:sz w:val="32"/>
          <w:szCs w:val="32"/>
        </w:rPr>
        <w:t>二、体现“产、学、研”全面融合结合</w:t>
      </w:r>
    </w:p>
    <w:p>
      <w:pPr>
        <w:spacing w:line="360" w:lineRule="auto"/>
        <w:ind w:firstLine="800" w:firstLineChars="250"/>
        <w:outlineLvl w:val="0"/>
        <w:rPr>
          <w:rFonts w:ascii="仿宋" w:hAnsi="仿宋" w:eastAsia="仿宋" w:cs="仿宋"/>
          <w:sz w:val="32"/>
          <w:szCs w:val="32"/>
        </w:rPr>
      </w:pPr>
      <w:r>
        <w:rPr>
          <w:rFonts w:hint="eastAsia" w:ascii="仿宋" w:hAnsi="仿宋" w:eastAsia="仿宋" w:cs="仿宋"/>
          <w:sz w:val="32"/>
          <w:szCs w:val="32"/>
        </w:rPr>
        <w:t>职业教育的教学过程也是“产、学、研”全面融合的过程。“课堂革命”案例要能够体现校企之间双岗交替、互聘互兼、双向培养的“双师型”教师队伍予以保障和实施的具体举措。</w:t>
      </w:r>
    </w:p>
    <w:p>
      <w:pPr>
        <w:spacing w:line="360" w:lineRule="auto"/>
        <w:ind w:firstLine="640" w:firstLineChars="200"/>
        <w:outlineLvl w:val="0"/>
        <w:rPr>
          <w:rFonts w:ascii="仿宋" w:hAnsi="仿宋" w:eastAsia="仿宋" w:cs="仿宋"/>
          <w:sz w:val="32"/>
          <w:szCs w:val="32"/>
        </w:rPr>
      </w:pPr>
      <w:r>
        <w:rPr>
          <w:rFonts w:hint="eastAsia" w:ascii="仿宋" w:hAnsi="仿宋" w:eastAsia="仿宋" w:cs="仿宋"/>
          <w:sz w:val="32"/>
          <w:szCs w:val="32"/>
        </w:rPr>
        <w:t>“课堂革命”案例应体现双重使命：一是要解决社会生产生活中的实际问题，二是要通过教育内容方法手段改革，解决课堂教学中的实际问题。</w:t>
      </w:r>
    </w:p>
    <w:p>
      <w:pPr>
        <w:spacing w:line="360" w:lineRule="auto"/>
        <w:ind w:firstLine="800" w:firstLineChars="250"/>
        <w:outlineLvl w:val="0"/>
        <w:rPr>
          <w:rFonts w:ascii="黑体" w:hAnsi="黑体" w:eastAsia="黑体"/>
          <w:sz w:val="32"/>
          <w:szCs w:val="32"/>
        </w:rPr>
      </w:pPr>
      <w:r>
        <w:rPr>
          <w:rFonts w:hint="eastAsia" w:ascii="黑体" w:hAnsi="黑体" w:eastAsia="黑体"/>
          <w:sz w:val="32"/>
          <w:szCs w:val="32"/>
        </w:rPr>
        <w:t>三、体现教师专业素质提升</w:t>
      </w:r>
    </w:p>
    <w:p>
      <w:pPr>
        <w:spacing w:line="360" w:lineRule="auto"/>
        <w:ind w:firstLine="800" w:firstLineChars="250"/>
        <w:outlineLvl w:val="0"/>
        <w:rPr>
          <w:rFonts w:ascii="仿宋" w:hAnsi="仿宋" w:eastAsia="仿宋" w:cs="仿宋"/>
          <w:sz w:val="32"/>
          <w:szCs w:val="32"/>
        </w:rPr>
      </w:pPr>
      <w:r>
        <w:rPr>
          <w:rFonts w:hint="eastAsia" w:ascii="仿宋" w:hAnsi="仿宋" w:eastAsia="仿宋" w:cs="仿宋"/>
          <w:sz w:val="32"/>
          <w:szCs w:val="32"/>
        </w:rPr>
        <w:t>职业教育“课堂革命”案例应体现教师专业化水平的提升。通过“课堂革命”的开展，能够持续提高的专业教师的教育科研能力，不断创新职业教育教学模式和理念，持续提升教育教学质量效益，实现教学活动与专业化水平提升的互动共赢。</w:t>
      </w:r>
    </w:p>
    <w:p>
      <w:pPr>
        <w:spacing w:line="360" w:lineRule="auto"/>
        <w:ind w:firstLine="800" w:firstLineChars="250"/>
        <w:outlineLvl w:val="0"/>
        <w:rPr>
          <w:rFonts w:ascii="黑体" w:hAnsi="黑体" w:eastAsia="黑体"/>
          <w:sz w:val="32"/>
          <w:szCs w:val="32"/>
        </w:rPr>
      </w:pPr>
      <w:r>
        <w:rPr>
          <w:rFonts w:hint="eastAsia" w:ascii="黑体" w:hAnsi="黑体" w:eastAsia="黑体"/>
          <w:sz w:val="32"/>
          <w:szCs w:val="32"/>
        </w:rPr>
        <w:t>四、体现学生学习积极性的提高</w:t>
      </w:r>
    </w:p>
    <w:p>
      <w:pPr>
        <w:spacing w:line="360" w:lineRule="auto"/>
        <w:ind w:firstLine="800" w:firstLineChars="250"/>
        <w:outlineLvl w:val="0"/>
        <w:rPr>
          <w:rFonts w:ascii="仿宋" w:hAnsi="仿宋" w:eastAsia="仿宋" w:cs="仿宋"/>
          <w:sz w:val="32"/>
          <w:szCs w:val="32"/>
        </w:rPr>
      </w:pPr>
      <w:r>
        <w:rPr>
          <w:rFonts w:hint="eastAsia" w:ascii="仿宋" w:hAnsi="仿宋" w:eastAsia="仿宋" w:cs="仿宋"/>
          <w:sz w:val="32"/>
          <w:szCs w:val="32"/>
        </w:rPr>
        <w:t>职业教育“课堂革命”案例应体现学生学习积极性的提高。通过“课堂革命”的开展，提高学生的学习兴趣，增强学习动机的驱动力，促使学生养成良好的学习习惯，帮助学生掌握与自身知识结构及智力发展水平相适应的科学有效的个性化学习方法。</w:t>
      </w:r>
    </w:p>
    <w:p>
      <w:pPr>
        <w:widowControl/>
        <w:jc w:val="left"/>
        <w:rPr>
          <w:rFonts w:ascii="仿宋_GB2312" w:hAnsi="宋体" w:eastAsia="仿宋_GB2312"/>
          <w:color w:val="000000"/>
          <w:sz w:val="32"/>
          <w:szCs w:val="32"/>
        </w:rPr>
      </w:pPr>
      <w:r>
        <w:rPr>
          <w:rFonts w:ascii="仿宋_GB2312" w:hAnsi="宋体" w:eastAsia="仿宋_GB2312"/>
          <w:color w:val="000000"/>
          <w:sz w:val="32"/>
          <w:szCs w:val="32"/>
        </w:rPr>
        <w:br w:type="page"/>
      </w:r>
    </w:p>
    <w:p>
      <w:pPr>
        <w:adjustRightInd w:val="0"/>
        <w:snapToGrid w:val="0"/>
        <w:spacing w:line="360" w:lineRule="auto"/>
        <w:rPr>
          <w:rFonts w:ascii="黑体" w:hAnsi="黑体" w:eastAsia="黑体" w:cs="黑体"/>
          <w:color w:val="000000"/>
          <w:sz w:val="32"/>
          <w:szCs w:val="32"/>
        </w:rPr>
      </w:pPr>
      <w:r>
        <w:rPr>
          <w:rFonts w:hint="eastAsia" w:ascii="黑体" w:hAnsi="黑体" w:eastAsia="黑体" w:cs="黑体"/>
          <w:color w:val="000000"/>
          <w:sz w:val="32"/>
          <w:szCs w:val="32"/>
        </w:rPr>
        <w:t>附件2</w:t>
      </w:r>
    </w:p>
    <w:p>
      <w:pPr>
        <w:spacing w:before="156" w:beforeLines="50"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苏州市职业院校</w:t>
      </w:r>
    </w:p>
    <w:p>
      <w:pPr>
        <w:spacing w:before="156" w:beforeLines="50"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“课堂革命”典型案例框架</w:t>
      </w:r>
    </w:p>
    <w:p>
      <w:pP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一、案例名称</w:t>
      </w:r>
    </w:p>
    <w:p>
      <w:pPr>
        <w:spacing w:line="360" w:lineRule="auto"/>
        <w:ind w:firstLine="640" w:firstLineChars="200"/>
        <w:outlineLvl w:val="0"/>
        <w:rPr>
          <w:rFonts w:ascii="仿宋" w:hAnsi="仿宋" w:eastAsia="仿宋" w:cs="仿宋"/>
          <w:sz w:val="32"/>
          <w:szCs w:val="32"/>
        </w:rPr>
      </w:pPr>
      <w:r>
        <w:rPr>
          <w:rFonts w:hint="eastAsia" w:ascii="仿宋" w:hAnsi="仿宋" w:eastAsia="仿宋" w:cs="仿宋"/>
          <w:sz w:val="32"/>
          <w:szCs w:val="32"/>
        </w:rPr>
        <w:t>简洁醒目，反应案例核心理念。可包含副标题。</w:t>
      </w:r>
    </w:p>
    <w:p>
      <w:pPr>
        <w:ind w:firstLine="640" w:firstLineChars="200"/>
        <w:rPr>
          <w:rFonts w:ascii="黑体" w:hAnsi="黑体" w:eastAsia="黑体"/>
          <w:sz w:val="32"/>
          <w:szCs w:val="32"/>
        </w:rPr>
      </w:pPr>
      <w:r>
        <w:rPr>
          <w:rFonts w:hint="eastAsia" w:ascii="黑体" w:hAnsi="黑体" w:eastAsia="黑体"/>
          <w:sz w:val="32"/>
          <w:szCs w:val="32"/>
        </w:rPr>
        <w:t>二、案例内容（文字不超过</w:t>
      </w:r>
      <w:r>
        <w:rPr>
          <w:rFonts w:hint="eastAsia" w:ascii="黑体" w:hAnsi="黑体" w:eastAsia="黑体"/>
          <w:color w:val="FF0000"/>
          <w:sz w:val="32"/>
          <w:szCs w:val="32"/>
        </w:rPr>
        <w:t xml:space="preserve"> </w:t>
      </w:r>
      <w:r>
        <w:rPr>
          <w:rFonts w:ascii="仿宋" w:hAnsi="仿宋" w:eastAsia="仿宋"/>
          <w:sz w:val="32"/>
          <w:szCs w:val="32"/>
        </w:rPr>
        <w:t>3</w:t>
      </w:r>
      <w:r>
        <w:rPr>
          <w:rFonts w:hint="eastAsia" w:ascii="仿宋" w:hAnsi="仿宋" w:eastAsia="仿宋"/>
          <w:sz w:val="32"/>
          <w:szCs w:val="32"/>
        </w:rPr>
        <w:t>000字</w:t>
      </w:r>
      <w:r>
        <w:rPr>
          <w:rFonts w:hint="eastAsia" w:ascii="黑体" w:hAnsi="黑体" w:eastAsia="黑体"/>
          <w:sz w:val="32"/>
          <w:szCs w:val="32"/>
        </w:rPr>
        <w:t>，图文并茂）</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1.引言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简洁凝练，一般用一段文字即可，概括案例关键做法、主要创新点与绩效，要能够吸引读者的阅读兴趣。</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2.背景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适当的理论（或政策）结合实际分析，突出问题导向。即案例旨在解决什么问题，或击破教育教学中的哪些难点和痛点。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3.主要做法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提炼“课堂革命”主要做法，突出亮点和创新点，反映职业教育“工学结合、知行合一”的特点。典型案例的做法应注重一定的原创性，凸显竞争力。文字语言生动，富有感染力和吸引力。</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4.取得成效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注重引用数据，注重学生学习效果。成果可展示、做法可借鉴，对其他课程、专业具有示范、引领和辐射作用。描述清晰、文字简练。</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5.体会与思考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对案例的总结，联系实际，可谈自己的思考和研究。也可着眼未来，谈后续计划或规划。</w:t>
      </w:r>
    </w:p>
    <w:p>
      <w:pPr>
        <w:adjustRightInd w:val="0"/>
        <w:snapToGrid w:val="0"/>
        <w:spacing w:line="360" w:lineRule="auto"/>
        <w:rPr>
          <w:rFonts w:ascii="仿宋_GB2312" w:hAnsi="宋体" w:eastAsia="仿宋_GB2312"/>
          <w:color w:val="000000"/>
          <w:sz w:val="32"/>
          <w:szCs w:val="32"/>
        </w:rPr>
      </w:pPr>
      <w:r>
        <w:rPr>
          <w:rFonts w:ascii="黑体" w:hAnsi="黑体" w:eastAsia="黑体"/>
          <w:sz w:val="32"/>
          <w:szCs w:val="32"/>
        </w:rPr>
        <w:br w:type="page"/>
      </w:r>
      <w:r>
        <w:rPr>
          <w:rFonts w:hint="eastAsia" w:ascii="黑体" w:hAnsi="黑体" w:eastAsia="黑体" w:cs="黑体"/>
          <w:color w:val="000000"/>
          <w:sz w:val="32"/>
          <w:szCs w:val="32"/>
        </w:rPr>
        <w:t>附件3</w:t>
      </w:r>
    </w:p>
    <w:p>
      <w:pPr>
        <w:spacing w:before="156" w:beforeLines="50"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苏州市职业院校</w:t>
      </w:r>
    </w:p>
    <w:p>
      <w:pPr>
        <w:spacing w:before="156" w:beforeLines="50"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“课堂革命”典型案例格式</w:t>
      </w:r>
    </w:p>
    <w:p>
      <w:pPr>
        <w:spacing w:line="560" w:lineRule="exact"/>
        <w:ind w:firstLine="627" w:firstLineChars="196"/>
        <w:rPr>
          <w:rFonts w:eastAsia="黑体"/>
          <w:bCs/>
          <w:sz w:val="32"/>
          <w:szCs w:val="32"/>
        </w:rPr>
      </w:pPr>
      <w:r>
        <w:rPr>
          <w:rFonts w:hint="eastAsia" w:eastAsia="黑体"/>
          <w:bCs/>
          <w:sz w:val="32"/>
          <w:szCs w:val="32"/>
        </w:rPr>
        <w:t>一、页面设置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1.纸张大小：A4纸张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2.版心要求：上边距3.5厘米，下边距3.5厘米，左边距2.8厘米，右边距2.5厘米。</w:t>
      </w:r>
    </w:p>
    <w:p>
      <w:pPr>
        <w:spacing w:line="560" w:lineRule="exact"/>
        <w:ind w:firstLine="627" w:firstLineChars="196"/>
        <w:rPr>
          <w:rFonts w:eastAsia="黑体"/>
          <w:bCs/>
          <w:sz w:val="32"/>
          <w:szCs w:val="32"/>
        </w:rPr>
      </w:pPr>
      <w:r>
        <w:rPr>
          <w:rFonts w:hint="eastAsia" w:eastAsia="黑体"/>
          <w:bCs/>
          <w:sz w:val="32"/>
          <w:szCs w:val="32"/>
        </w:rPr>
        <w:t>二、正文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1.主标题居中排，使用方正小标宋简二号字。主标题的段后距设为0.5行。副标题另起一行，使用破折号加宋体小二号字如：“——******”。学校、姓名等信息写在主、副标题下，居中排，使用楷体三号字。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rPr>
        <w:t xml:space="preserve"> </w:t>
      </w:r>
      <w:r>
        <w:rPr>
          <w:rFonts w:hint="eastAsia" w:ascii="仿宋" w:hAnsi="仿宋" w:eastAsia="仿宋" w:cs="仿宋"/>
          <w:b/>
          <w:bCs/>
          <w:sz w:val="32"/>
          <w:szCs w:val="32"/>
        </w:rPr>
        <w:t>一级标题：</w:t>
      </w:r>
      <w:r>
        <w:rPr>
          <w:rFonts w:hint="eastAsia" w:ascii="仿宋" w:hAnsi="仿宋" w:eastAsia="仿宋" w:cs="仿宋"/>
          <w:sz w:val="32"/>
          <w:szCs w:val="32"/>
        </w:rPr>
        <w:t>黑体三号，首行缩进2个字符。统一采用“一、”、“二、”形式；</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二级标题：</w:t>
      </w:r>
      <w:r>
        <w:rPr>
          <w:rFonts w:hint="eastAsia" w:ascii="仿宋" w:hAnsi="仿宋" w:eastAsia="仿宋" w:cs="仿宋"/>
          <w:sz w:val="32"/>
          <w:szCs w:val="32"/>
        </w:rPr>
        <w:t>楷体三号，首行缩进2个字符。统一采用“（一）”、“（二）”形式，后不加顿号；</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三级标题：</w:t>
      </w:r>
      <w:r>
        <w:rPr>
          <w:rFonts w:hint="eastAsia" w:ascii="仿宋" w:hAnsi="仿宋" w:eastAsia="仿宋" w:cs="仿宋"/>
          <w:sz w:val="32"/>
          <w:szCs w:val="32"/>
        </w:rPr>
        <w:t>仿宋三号，加粗，首行缩进2个字符。统一采用“1.”、“2.”形式；</w:t>
      </w:r>
    </w:p>
    <w:p>
      <w:pPr>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3.正文使用仿宋三号字，首行缩进两字符，行距设置为28磅。</w:t>
      </w:r>
    </w:p>
    <w:p>
      <w:pPr>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正文可插图（图注位于图片下方，如“图1  xxx”，字体为宋体小四号字）。</w:t>
      </w:r>
    </w:p>
    <w:p>
      <w:pPr>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
          <w:sz w:val="32"/>
          <w:szCs w:val="32"/>
        </w:rPr>
        <w:t>表格</w:t>
      </w:r>
      <w:r>
        <w:rPr>
          <w:rFonts w:hint="eastAsia" w:ascii="仿宋" w:hAnsi="仿宋" w:eastAsia="仿宋" w:cs="仿宋"/>
          <w:sz w:val="32"/>
          <w:szCs w:val="32"/>
        </w:rPr>
        <w:t>中正文使用宋体小四号字，两端对齐，行距为22磅。（表注位于表格上方，如“表1 xxx”，字体为宋体小四号字）</w:t>
      </w:r>
    </w:p>
    <w:p>
      <w:pPr>
        <w:spacing w:line="720" w:lineRule="exact"/>
        <w:ind w:firstLine="627" w:firstLineChars="196"/>
        <w:rPr>
          <w:rFonts w:eastAsia="仿宋_GB2312"/>
          <w:sz w:val="32"/>
          <w:szCs w:val="32"/>
          <w:u w:val="single"/>
        </w:rPr>
      </w:pPr>
    </w:p>
    <w:p>
      <w:pPr>
        <w:spacing w:line="560" w:lineRule="exact"/>
        <w:jc w:val="left"/>
        <w:rPr>
          <w:rFonts w:ascii="Times New Roman" w:hAnsi="Times New Roman" w:eastAsia="黑体" w:cs="Times New Roman"/>
          <w:b/>
          <w:bCs/>
          <w:sz w:val="32"/>
          <w:szCs w:val="32"/>
        </w:rPr>
        <w:sectPr>
          <w:footerReference r:id="rId4" w:type="default"/>
          <w:pgSz w:w="11906" w:h="16838"/>
          <w:pgMar w:top="1361" w:right="1418" w:bottom="1361" w:left="1418" w:header="851" w:footer="992" w:gutter="0"/>
          <w:cols w:space="720" w:num="1"/>
          <w:docGrid w:type="lines" w:linePitch="312" w:charSpace="0"/>
        </w:sectPr>
      </w:pPr>
    </w:p>
    <w:p>
      <w:pPr>
        <w:adjustRightInd w:val="0"/>
        <w:snapToGrid w:val="0"/>
        <w:spacing w:line="360" w:lineRule="auto"/>
        <w:rPr>
          <w:rFonts w:ascii="黑体" w:hAnsi="黑体" w:eastAsia="黑体" w:cs="黑体"/>
          <w:color w:val="000000"/>
          <w:sz w:val="32"/>
          <w:szCs w:val="32"/>
        </w:rPr>
      </w:pPr>
      <w:r>
        <w:rPr>
          <w:rFonts w:hint="eastAsia" w:ascii="黑体" w:hAnsi="黑体" w:eastAsia="黑体" w:cs="黑体"/>
          <w:color w:val="000000"/>
          <w:sz w:val="32"/>
          <w:szCs w:val="32"/>
        </w:rPr>
        <w:t>附件4</w:t>
      </w:r>
    </w:p>
    <w:p>
      <w:pPr>
        <w:spacing w:before="156" w:beforeLines="50"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苏州市职业院校“课堂革命”典型案例推荐汇总表</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 w:cs="Times New Roman"/>
          <w:sz w:val="24"/>
        </w:rPr>
      </w:pPr>
      <w:r>
        <w:rPr>
          <w:rFonts w:ascii="Times New Roman" w:hAnsi="Times New Roman" w:eastAsia="仿宋_GB2312" w:cs="Times New Roman"/>
          <w:sz w:val="32"/>
          <w:szCs w:val="32"/>
        </w:rPr>
        <w:t>推荐</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 xml:space="preserve">名称（盖章）： </w:t>
      </w:r>
      <w:r>
        <w:rPr>
          <w:rFonts w:ascii="Times New Roman" w:hAnsi="Times New Roman" w:eastAsia="仿宋" w:cs="Times New Roman"/>
          <w:b/>
          <w:sz w:val="32"/>
          <w:szCs w:val="32"/>
          <w:u w:val="single"/>
        </w:rPr>
        <w:t xml:space="preserve">   </w:t>
      </w:r>
      <w:r>
        <w:rPr>
          <w:rFonts w:ascii="Times New Roman" w:hAnsi="Times New Roman" w:eastAsia="仿宋" w:cs="Times New Roman"/>
          <w:bCs/>
          <w:sz w:val="32"/>
          <w:szCs w:val="32"/>
          <w:u w:val="single"/>
        </w:rPr>
        <w:t xml:space="preserve">                      </w:t>
      </w:r>
      <w:r>
        <w:rPr>
          <w:rFonts w:ascii="Times New Roman" w:hAnsi="Times New Roman" w:eastAsia="仿宋" w:cs="Times New Roman"/>
          <w:bCs/>
          <w:sz w:val="32"/>
          <w:szCs w:val="32"/>
        </w:rPr>
        <w:t xml:space="preserve"> </w:t>
      </w:r>
      <w:r>
        <w:rPr>
          <w:rFonts w:ascii="Times New Roman" w:hAnsi="Times New Roman" w:eastAsia="仿宋" w:cs="Times New Roman"/>
          <w:b/>
          <w:sz w:val="36"/>
          <w:szCs w:val="36"/>
        </w:rPr>
        <w:t xml:space="preserve"> </w:t>
      </w:r>
    </w:p>
    <w:tbl>
      <w:tblPr>
        <w:tblStyle w:val="12"/>
        <w:tblW w:w="13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822"/>
        <w:gridCol w:w="1425"/>
        <w:gridCol w:w="1185"/>
        <w:gridCol w:w="1305"/>
        <w:gridCol w:w="1227"/>
        <w:gridCol w:w="1882"/>
        <w:gridCol w:w="3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exact"/>
          <w:jc w:val="center"/>
        </w:trPr>
        <w:tc>
          <w:tcPr>
            <w:tcW w:w="1053" w:type="dxa"/>
            <w:vAlign w:val="center"/>
          </w:tcPr>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序号</w:t>
            </w:r>
          </w:p>
        </w:tc>
        <w:tc>
          <w:tcPr>
            <w:tcW w:w="1822" w:type="dxa"/>
            <w:vAlign w:val="center"/>
          </w:tcPr>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案例</w:t>
            </w:r>
          </w:p>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名称</w:t>
            </w:r>
          </w:p>
        </w:tc>
        <w:tc>
          <w:tcPr>
            <w:tcW w:w="1425" w:type="dxa"/>
            <w:vAlign w:val="center"/>
          </w:tcPr>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课程名称</w:t>
            </w:r>
          </w:p>
        </w:tc>
        <w:tc>
          <w:tcPr>
            <w:tcW w:w="1185" w:type="dxa"/>
            <w:vAlign w:val="center"/>
          </w:tcPr>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课程</w:t>
            </w:r>
          </w:p>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类型</w:t>
            </w:r>
            <w:r>
              <w:rPr>
                <w:rFonts w:ascii="Times New Roman" w:hAnsi="Times New Roman" w:cs="Times New Roman"/>
                <w:vertAlign w:val="superscript"/>
              </w:rPr>
              <w:footnoteReference w:id="0"/>
            </w:r>
          </w:p>
        </w:tc>
        <w:tc>
          <w:tcPr>
            <w:tcW w:w="1305" w:type="dxa"/>
            <w:vAlign w:val="center"/>
          </w:tcPr>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所属</w:t>
            </w:r>
          </w:p>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专业</w:t>
            </w:r>
            <w:r>
              <w:rPr>
                <w:rFonts w:ascii="Times New Roman" w:hAnsi="Times New Roman" w:cs="Times New Roman"/>
                <w:vertAlign w:val="superscript"/>
              </w:rPr>
              <w:footnoteReference w:id="1"/>
            </w:r>
            <w:r>
              <w:rPr>
                <w:rFonts w:ascii="Times New Roman" w:hAnsi="Times New Roman" w:eastAsia="黑体" w:cs="Times New Roman"/>
                <w:color w:val="000000"/>
                <w:kern w:val="0"/>
                <w:sz w:val="24"/>
              </w:rPr>
              <w:t xml:space="preserve"> </w:t>
            </w:r>
          </w:p>
        </w:tc>
        <w:tc>
          <w:tcPr>
            <w:tcW w:w="1227" w:type="dxa"/>
            <w:vAlign w:val="center"/>
          </w:tcPr>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专业</w:t>
            </w:r>
          </w:p>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代码</w:t>
            </w:r>
          </w:p>
        </w:tc>
        <w:tc>
          <w:tcPr>
            <w:tcW w:w="1882" w:type="dxa"/>
            <w:vAlign w:val="center"/>
          </w:tcPr>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案例负责人</w:t>
            </w:r>
            <w:r>
              <w:rPr>
                <w:rStyle w:val="16"/>
                <w:rFonts w:ascii="Times New Roman" w:hAnsi="Times New Roman" w:eastAsia="黑体" w:cs="Times New Roman"/>
                <w:color w:val="000000"/>
                <w:kern w:val="0"/>
                <w:sz w:val="24"/>
              </w:rPr>
              <w:footnoteReference w:id="2"/>
            </w:r>
          </w:p>
        </w:tc>
        <w:tc>
          <w:tcPr>
            <w:tcW w:w="3484" w:type="dxa"/>
            <w:vAlign w:val="center"/>
          </w:tcPr>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案例团队</w:t>
            </w:r>
          </w:p>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成员</w:t>
            </w:r>
            <w:r>
              <w:rPr>
                <w:rFonts w:hint="eastAsia" w:ascii="Times New Roman" w:hAnsi="Times New Roman" w:eastAsia="黑体" w:cs="Times New Roman"/>
                <w:color w:val="000000"/>
                <w:kern w:val="0"/>
                <w:sz w:val="24"/>
              </w:rPr>
              <w:t>（姓名+是否兼职教师）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53" w:type="dxa"/>
            <w:vAlign w:val="center"/>
          </w:tcPr>
          <w:p>
            <w:pPr>
              <w:widowControl/>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822" w:type="dxa"/>
          </w:tcPr>
          <w:p>
            <w:pPr>
              <w:widowControl/>
              <w:spacing w:line="400" w:lineRule="exact"/>
              <w:jc w:val="center"/>
              <w:rPr>
                <w:rFonts w:ascii="Times New Roman" w:hAnsi="Times New Roman" w:eastAsia="仿宋_GB2312" w:cs="Times New Roman"/>
                <w:color w:val="000000"/>
                <w:kern w:val="0"/>
                <w:sz w:val="24"/>
              </w:rPr>
            </w:pPr>
          </w:p>
        </w:tc>
        <w:tc>
          <w:tcPr>
            <w:tcW w:w="1425"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185"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305"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227"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882" w:type="dxa"/>
            <w:vAlign w:val="center"/>
          </w:tcPr>
          <w:p>
            <w:pPr>
              <w:widowControl/>
              <w:spacing w:line="400" w:lineRule="exact"/>
              <w:jc w:val="center"/>
              <w:rPr>
                <w:rFonts w:ascii="Times New Roman" w:hAnsi="Times New Roman" w:eastAsia="仿宋_GB2312" w:cs="Times New Roman"/>
                <w:color w:val="000000"/>
                <w:kern w:val="0"/>
                <w:sz w:val="24"/>
              </w:rPr>
            </w:pPr>
          </w:p>
        </w:tc>
        <w:tc>
          <w:tcPr>
            <w:tcW w:w="3484" w:type="dxa"/>
            <w:vAlign w:val="center"/>
          </w:tcPr>
          <w:p>
            <w:pPr>
              <w:widowControl/>
              <w:spacing w:line="400" w:lineRule="exact"/>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53" w:type="dxa"/>
            <w:vAlign w:val="center"/>
          </w:tcPr>
          <w:p>
            <w:pPr>
              <w:widowControl/>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p>
        </w:tc>
        <w:tc>
          <w:tcPr>
            <w:tcW w:w="1822" w:type="dxa"/>
          </w:tcPr>
          <w:p>
            <w:pPr>
              <w:widowControl/>
              <w:spacing w:line="400" w:lineRule="exact"/>
              <w:jc w:val="center"/>
              <w:rPr>
                <w:rFonts w:ascii="Times New Roman" w:hAnsi="Times New Roman" w:eastAsia="仿宋_GB2312" w:cs="Times New Roman"/>
                <w:color w:val="000000"/>
                <w:kern w:val="0"/>
                <w:sz w:val="24"/>
              </w:rPr>
            </w:pPr>
          </w:p>
        </w:tc>
        <w:tc>
          <w:tcPr>
            <w:tcW w:w="1425"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185"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305"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227"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882" w:type="dxa"/>
            <w:vAlign w:val="center"/>
          </w:tcPr>
          <w:p>
            <w:pPr>
              <w:widowControl/>
              <w:spacing w:line="400" w:lineRule="exact"/>
              <w:jc w:val="center"/>
              <w:rPr>
                <w:rFonts w:ascii="Times New Roman" w:hAnsi="Times New Roman" w:eastAsia="仿宋_GB2312" w:cs="Times New Roman"/>
                <w:color w:val="000000"/>
                <w:kern w:val="0"/>
                <w:sz w:val="24"/>
              </w:rPr>
            </w:pPr>
          </w:p>
        </w:tc>
        <w:tc>
          <w:tcPr>
            <w:tcW w:w="3484" w:type="dxa"/>
            <w:vAlign w:val="center"/>
          </w:tcPr>
          <w:p>
            <w:pPr>
              <w:widowControl/>
              <w:spacing w:line="400" w:lineRule="exact"/>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53" w:type="dxa"/>
            <w:vAlign w:val="center"/>
          </w:tcPr>
          <w:p>
            <w:pPr>
              <w:widowControl/>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p>
        </w:tc>
        <w:tc>
          <w:tcPr>
            <w:tcW w:w="1822" w:type="dxa"/>
          </w:tcPr>
          <w:p>
            <w:pPr>
              <w:widowControl/>
              <w:spacing w:line="400" w:lineRule="exact"/>
              <w:jc w:val="center"/>
              <w:rPr>
                <w:rFonts w:ascii="Times New Roman" w:hAnsi="Times New Roman" w:eastAsia="仿宋_GB2312" w:cs="Times New Roman"/>
                <w:color w:val="000000"/>
                <w:kern w:val="0"/>
                <w:sz w:val="24"/>
              </w:rPr>
            </w:pPr>
          </w:p>
        </w:tc>
        <w:tc>
          <w:tcPr>
            <w:tcW w:w="1425"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185"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305"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227"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882" w:type="dxa"/>
            <w:vAlign w:val="center"/>
          </w:tcPr>
          <w:p>
            <w:pPr>
              <w:widowControl/>
              <w:spacing w:line="400" w:lineRule="exact"/>
              <w:jc w:val="center"/>
              <w:rPr>
                <w:rFonts w:ascii="Times New Roman" w:hAnsi="Times New Roman" w:eastAsia="仿宋_GB2312" w:cs="Times New Roman"/>
                <w:color w:val="000000"/>
                <w:kern w:val="0"/>
                <w:sz w:val="24"/>
              </w:rPr>
            </w:pPr>
          </w:p>
        </w:tc>
        <w:tc>
          <w:tcPr>
            <w:tcW w:w="3484" w:type="dxa"/>
            <w:vAlign w:val="center"/>
          </w:tcPr>
          <w:p>
            <w:pPr>
              <w:widowControl/>
              <w:spacing w:line="400" w:lineRule="exact"/>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53" w:type="dxa"/>
            <w:vAlign w:val="center"/>
          </w:tcPr>
          <w:p>
            <w:pPr>
              <w:widowControl/>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w:t>
            </w:r>
          </w:p>
        </w:tc>
        <w:tc>
          <w:tcPr>
            <w:tcW w:w="1822" w:type="dxa"/>
          </w:tcPr>
          <w:p>
            <w:pPr>
              <w:widowControl/>
              <w:spacing w:line="400" w:lineRule="exact"/>
              <w:jc w:val="center"/>
              <w:rPr>
                <w:rFonts w:ascii="Times New Roman" w:hAnsi="Times New Roman" w:eastAsia="仿宋_GB2312" w:cs="Times New Roman"/>
                <w:color w:val="000000"/>
                <w:kern w:val="0"/>
                <w:sz w:val="24"/>
              </w:rPr>
            </w:pPr>
          </w:p>
        </w:tc>
        <w:tc>
          <w:tcPr>
            <w:tcW w:w="1425"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185"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305"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227" w:type="dxa"/>
            <w:vAlign w:val="center"/>
          </w:tcPr>
          <w:p>
            <w:pPr>
              <w:widowControl/>
              <w:spacing w:line="400" w:lineRule="exact"/>
              <w:jc w:val="center"/>
              <w:rPr>
                <w:rFonts w:ascii="Times New Roman" w:hAnsi="Times New Roman" w:eastAsia="仿宋_GB2312" w:cs="Times New Roman"/>
                <w:color w:val="000000"/>
                <w:kern w:val="0"/>
                <w:sz w:val="24"/>
              </w:rPr>
            </w:pPr>
          </w:p>
        </w:tc>
        <w:tc>
          <w:tcPr>
            <w:tcW w:w="1882" w:type="dxa"/>
            <w:vAlign w:val="center"/>
          </w:tcPr>
          <w:p>
            <w:pPr>
              <w:widowControl/>
              <w:spacing w:line="400" w:lineRule="exact"/>
              <w:jc w:val="center"/>
              <w:rPr>
                <w:rFonts w:ascii="Times New Roman" w:hAnsi="Times New Roman" w:eastAsia="仿宋_GB2312" w:cs="Times New Roman"/>
                <w:color w:val="000000"/>
                <w:kern w:val="0"/>
                <w:sz w:val="24"/>
              </w:rPr>
            </w:pPr>
          </w:p>
        </w:tc>
        <w:tc>
          <w:tcPr>
            <w:tcW w:w="3484" w:type="dxa"/>
            <w:vAlign w:val="center"/>
          </w:tcPr>
          <w:p>
            <w:pPr>
              <w:widowControl/>
              <w:spacing w:line="400" w:lineRule="exact"/>
              <w:jc w:val="center"/>
              <w:rPr>
                <w:rFonts w:ascii="Times New Roman" w:hAnsi="Times New Roman" w:eastAsia="仿宋_GB2312" w:cs="Times New Roman"/>
                <w:color w:val="000000"/>
                <w:kern w:val="0"/>
                <w:sz w:val="24"/>
              </w:rPr>
            </w:pPr>
          </w:p>
        </w:tc>
      </w:tr>
    </w:tbl>
    <w:p>
      <w:pPr>
        <w:spacing w:line="560" w:lineRule="exact"/>
        <w:jc w:val="left"/>
        <w:rPr>
          <w:rFonts w:ascii="Times New Roman" w:hAnsi="Times New Roman" w:eastAsia="黑体" w:cs="Times New Roman"/>
          <w:b/>
          <w:bCs/>
          <w:sz w:val="32"/>
          <w:szCs w:val="32"/>
        </w:rPr>
      </w:pPr>
    </w:p>
    <w:sectPr>
      <w:pgSz w:w="16838" w:h="11906" w:orient="landscape"/>
      <w:pgMar w:top="1418" w:right="1361" w:bottom="1418"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8"/>
      </w:pPr>
      <w:r>
        <w:rPr>
          <w:rStyle w:val="16"/>
        </w:rPr>
        <w:footnoteRef/>
      </w:r>
      <w:r>
        <w:rPr>
          <w:rFonts w:hint="eastAsia" w:ascii="仿宋_GB2312" w:hAnsi="仿宋_GB2312" w:eastAsia="仿宋_GB2312" w:cs="仿宋_GB2312"/>
          <w:szCs w:val="21"/>
        </w:rPr>
        <w:t>课程类型分为：公共基础课,专业</w:t>
      </w:r>
      <w:r>
        <w:rPr>
          <w:rFonts w:hint="eastAsia" w:ascii="仿宋_GB2312" w:hAnsi="仿宋_GB2312" w:eastAsia="仿宋_GB2312" w:cs="仿宋_GB2312"/>
          <w:color w:val="000000"/>
          <w:szCs w:val="21"/>
        </w:rPr>
        <w:t>理论课、理实一体化课、纯实训课</w:t>
      </w:r>
      <w:r>
        <w:rPr>
          <w:rFonts w:hint="eastAsia" w:ascii="仿宋_GB2312" w:hAnsi="仿宋_GB2312" w:eastAsia="仿宋_GB2312" w:cs="仿宋_GB2312"/>
          <w:szCs w:val="21"/>
        </w:rPr>
        <w:t>。</w:t>
      </w:r>
    </w:p>
  </w:footnote>
  <w:footnote w:id="1">
    <w:p>
      <w:pPr>
        <w:pStyle w:val="8"/>
      </w:pPr>
      <w:r>
        <w:rPr>
          <w:rStyle w:val="16"/>
        </w:rPr>
        <w:footnoteRef/>
      </w:r>
      <w:r>
        <w:rPr>
          <w:rFonts w:hint="eastAsia" w:ascii="仿宋_GB2312" w:hAnsi="仿宋_GB2312" w:eastAsia="仿宋_GB2312" w:cs="仿宋_GB2312"/>
          <w:szCs w:val="21"/>
        </w:rPr>
        <w:t>所属专业、专业代码严格按照《职业教育专业目录（2021年）》填写。课程如为公共基础课，所属专业名称和所属专业代码不填写。</w:t>
      </w:r>
    </w:p>
  </w:footnote>
  <w:footnote w:id="2">
    <w:p>
      <w:pPr>
        <w:pStyle w:val="8"/>
      </w:pPr>
      <w:r>
        <w:rPr>
          <w:rStyle w:val="16"/>
        </w:rPr>
        <w:footnoteRef/>
      </w:r>
      <w:r>
        <w:rPr>
          <w:rFonts w:hint="eastAsia" w:ascii="仿宋_GB2312" w:hAnsi="仿宋_GB2312" w:eastAsia="仿宋_GB2312" w:cs="仿宋_GB2312"/>
          <w:color w:val="000000"/>
          <w:szCs w:val="21"/>
        </w:rPr>
        <w:t>案例负责人限1人，其他团队成员不超过3人。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ZmM0MDdhMTE3ODhmNDU1N2Q1NjM4YjM3MTExOTIifQ=="/>
  </w:docVars>
  <w:rsids>
    <w:rsidRoot w:val="00673203"/>
    <w:rsid w:val="0000043A"/>
    <w:rsid w:val="00020FE6"/>
    <w:rsid w:val="00033912"/>
    <w:rsid w:val="000707C6"/>
    <w:rsid w:val="000723A5"/>
    <w:rsid w:val="00081134"/>
    <w:rsid w:val="000A0E64"/>
    <w:rsid w:val="000B25C5"/>
    <w:rsid w:val="000C45E3"/>
    <w:rsid w:val="000D22A7"/>
    <w:rsid w:val="000F12CD"/>
    <w:rsid w:val="000F17D3"/>
    <w:rsid w:val="00106B33"/>
    <w:rsid w:val="001168D7"/>
    <w:rsid w:val="001213E3"/>
    <w:rsid w:val="001377E5"/>
    <w:rsid w:val="00154BB1"/>
    <w:rsid w:val="00154E7E"/>
    <w:rsid w:val="00161244"/>
    <w:rsid w:val="00194A6D"/>
    <w:rsid w:val="001975C4"/>
    <w:rsid w:val="001A21C0"/>
    <w:rsid w:val="001B1615"/>
    <w:rsid w:val="001B65FF"/>
    <w:rsid w:val="001C1BD8"/>
    <w:rsid w:val="001C7427"/>
    <w:rsid w:val="001D6376"/>
    <w:rsid w:val="001E309B"/>
    <w:rsid w:val="001E423F"/>
    <w:rsid w:val="001F6A76"/>
    <w:rsid w:val="00205005"/>
    <w:rsid w:val="002062C3"/>
    <w:rsid w:val="00206D54"/>
    <w:rsid w:val="00224B49"/>
    <w:rsid w:val="00230342"/>
    <w:rsid w:val="00230B2F"/>
    <w:rsid w:val="00230B3A"/>
    <w:rsid w:val="002326BC"/>
    <w:rsid w:val="00233D46"/>
    <w:rsid w:val="002415BE"/>
    <w:rsid w:val="00244C95"/>
    <w:rsid w:val="00262AB4"/>
    <w:rsid w:val="00270D5C"/>
    <w:rsid w:val="00275AD1"/>
    <w:rsid w:val="0028016D"/>
    <w:rsid w:val="0028020B"/>
    <w:rsid w:val="00281E3F"/>
    <w:rsid w:val="002A3B99"/>
    <w:rsid w:val="002A7E74"/>
    <w:rsid w:val="002B4CD7"/>
    <w:rsid w:val="002B67CC"/>
    <w:rsid w:val="00303ECD"/>
    <w:rsid w:val="003054AB"/>
    <w:rsid w:val="00313CDB"/>
    <w:rsid w:val="003335A8"/>
    <w:rsid w:val="00340630"/>
    <w:rsid w:val="003421B8"/>
    <w:rsid w:val="00346981"/>
    <w:rsid w:val="00353579"/>
    <w:rsid w:val="00386282"/>
    <w:rsid w:val="0039617E"/>
    <w:rsid w:val="003B0532"/>
    <w:rsid w:val="003E43A2"/>
    <w:rsid w:val="003E454F"/>
    <w:rsid w:val="003E734B"/>
    <w:rsid w:val="00401784"/>
    <w:rsid w:val="004110E9"/>
    <w:rsid w:val="004200BC"/>
    <w:rsid w:val="004710A5"/>
    <w:rsid w:val="00493DCF"/>
    <w:rsid w:val="004B18A1"/>
    <w:rsid w:val="004B6A30"/>
    <w:rsid w:val="004C2835"/>
    <w:rsid w:val="004C5BB7"/>
    <w:rsid w:val="004E4B60"/>
    <w:rsid w:val="004F0A4A"/>
    <w:rsid w:val="005258B2"/>
    <w:rsid w:val="00542F51"/>
    <w:rsid w:val="00545272"/>
    <w:rsid w:val="00550B4F"/>
    <w:rsid w:val="00551400"/>
    <w:rsid w:val="00553D28"/>
    <w:rsid w:val="00557D43"/>
    <w:rsid w:val="00562E7A"/>
    <w:rsid w:val="0056597D"/>
    <w:rsid w:val="005659B4"/>
    <w:rsid w:val="0057353F"/>
    <w:rsid w:val="005818C7"/>
    <w:rsid w:val="00584F33"/>
    <w:rsid w:val="00597A32"/>
    <w:rsid w:val="00624335"/>
    <w:rsid w:val="006246E5"/>
    <w:rsid w:val="00637524"/>
    <w:rsid w:val="006413F8"/>
    <w:rsid w:val="006422E9"/>
    <w:rsid w:val="006453A4"/>
    <w:rsid w:val="00650E57"/>
    <w:rsid w:val="00653073"/>
    <w:rsid w:val="006550F4"/>
    <w:rsid w:val="006570E0"/>
    <w:rsid w:val="0066063E"/>
    <w:rsid w:val="00666C1D"/>
    <w:rsid w:val="006709D1"/>
    <w:rsid w:val="00673203"/>
    <w:rsid w:val="0068187C"/>
    <w:rsid w:val="0069149D"/>
    <w:rsid w:val="006914DE"/>
    <w:rsid w:val="006B179B"/>
    <w:rsid w:val="006B1C03"/>
    <w:rsid w:val="006B649D"/>
    <w:rsid w:val="006C13CB"/>
    <w:rsid w:val="006C6B88"/>
    <w:rsid w:val="006E5190"/>
    <w:rsid w:val="00704C04"/>
    <w:rsid w:val="00732B35"/>
    <w:rsid w:val="007332E3"/>
    <w:rsid w:val="00751B25"/>
    <w:rsid w:val="00763B7E"/>
    <w:rsid w:val="00765F15"/>
    <w:rsid w:val="0078798F"/>
    <w:rsid w:val="007943B9"/>
    <w:rsid w:val="00796A4A"/>
    <w:rsid w:val="007A125E"/>
    <w:rsid w:val="007A4724"/>
    <w:rsid w:val="007A58D0"/>
    <w:rsid w:val="007B14FB"/>
    <w:rsid w:val="007B3AB2"/>
    <w:rsid w:val="007C1117"/>
    <w:rsid w:val="007D612A"/>
    <w:rsid w:val="007E46B2"/>
    <w:rsid w:val="007F2FA0"/>
    <w:rsid w:val="00800848"/>
    <w:rsid w:val="00805D13"/>
    <w:rsid w:val="00806991"/>
    <w:rsid w:val="00814CF8"/>
    <w:rsid w:val="00832614"/>
    <w:rsid w:val="00836032"/>
    <w:rsid w:val="008425C4"/>
    <w:rsid w:val="00852C59"/>
    <w:rsid w:val="008669AB"/>
    <w:rsid w:val="00872E87"/>
    <w:rsid w:val="0087441F"/>
    <w:rsid w:val="008765F8"/>
    <w:rsid w:val="008A314A"/>
    <w:rsid w:val="008B424D"/>
    <w:rsid w:val="008D5B4E"/>
    <w:rsid w:val="008E2BCE"/>
    <w:rsid w:val="008F27AC"/>
    <w:rsid w:val="0090461E"/>
    <w:rsid w:val="00906DC0"/>
    <w:rsid w:val="009459F1"/>
    <w:rsid w:val="00972BB0"/>
    <w:rsid w:val="009859FA"/>
    <w:rsid w:val="009935F1"/>
    <w:rsid w:val="00994D86"/>
    <w:rsid w:val="00996BF9"/>
    <w:rsid w:val="009A03BC"/>
    <w:rsid w:val="009A2064"/>
    <w:rsid w:val="009B414C"/>
    <w:rsid w:val="009B4B07"/>
    <w:rsid w:val="009B4DD6"/>
    <w:rsid w:val="009B7C07"/>
    <w:rsid w:val="009C059C"/>
    <w:rsid w:val="009E1CC7"/>
    <w:rsid w:val="009F39E5"/>
    <w:rsid w:val="00A074C0"/>
    <w:rsid w:val="00A719D1"/>
    <w:rsid w:val="00A77131"/>
    <w:rsid w:val="00A81775"/>
    <w:rsid w:val="00A8343E"/>
    <w:rsid w:val="00A9154F"/>
    <w:rsid w:val="00AA2E72"/>
    <w:rsid w:val="00AA6B25"/>
    <w:rsid w:val="00AC2B1E"/>
    <w:rsid w:val="00AD2875"/>
    <w:rsid w:val="00AD3C6E"/>
    <w:rsid w:val="00AE00F9"/>
    <w:rsid w:val="00AE249D"/>
    <w:rsid w:val="00AE6ECA"/>
    <w:rsid w:val="00AF30BD"/>
    <w:rsid w:val="00B25B58"/>
    <w:rsid w:val="00B579C7"/>
    <w:rsid w:val="00B77F3B"/>
    <w:rsid w:val="00B8637E"/>
    <w:rsid w:val="00B9638D"/>
    <w:rsid w:val="00BB0B49"/>
    <w:rsid w:val="00BC0D68"/>
    <w:rsid w:val="00BC7F91"/>
    <w:rsid w:val="00BE712F"/>
    <w:rsid w:val="00BF4027"/>
    <w:rsid w:val="00C0078A"/>
    <w:rsid w:val="00C11FE2"/>
    <w:rsid w:val="00C15AE0"/>
    <w:rsid w:val="00C20D16"/>
    <w:rsid w:val="00C266F2"/>
    <w:rsid w:val="00C401BB"/>
    <w:rsid w:val="00C40854"/>
    <w:rsid w:val="00C87095"/>
    <w:rsid w:val="00C96283"/>
    <w:rsid w:val="00CB1D08"/>
    <w:rsid w:val="00CC0800"/>
    <w:rsid w:val="00CE2F1A"/>
    <w:rsid w:val="00CF100D"/>
    <w:rsid w:val="00CF15A6"/>
    <w:rsid w:val="00CF7D95"/>
    <w:rsid w:val="00D02391"/>
    <w:rsid w:val="00D06EB1"/>
    <w:rsid w:val="00D12BB9"/>
    <w:rsid w:val="00D24FE0"/>
    <w:rsid w:val="00D25E9E"/>
    <w:rsid w:val="00D40F42"/>
    <w:rsid w:val="00D43ABE"/>
    <w:rsid w:val="00D5272E"/>
    <w:rsid w:val="00D5344A"/>
    <w:rsid w:val="00D64E41"/>
    <w:rsid w:val="00DD5EEE"/>
    <w:rsid w:val="00DD7E91"/>
    <w:rsid w:val="00DF08EB"/>
    <w:rsid w:val="00E124A1"/>
    <w:rsid w:val="00E22BDA"/>
    <w:rsid w:val="00E244AC"/>
    <w:rsid w:val="00E27644"/>
    <w:rsid w:val="00E428C2"/>
    <w:rsid w:val="00E517A1"/>
    <w:rsid w:val="00E609E5"/>
    <w:rsid w:val="00E66BA2"/>
    <w:rsid w:val="00E73199"/>
    <w:rsid w:val="00E909CC"/>
    <w:rsid w:val="00EA01BE"/>
    <w:rsid w:val="00EA1B14"/>
    <w:rsid w:val="00EC02BF"/>
    <w:rsid w:val="00EC19BA"/>
    <w:rsid w:val="00EC2164"/>
    <w:rsid w:val="00EC5CB6"/>
    <w:rsid w:val="00ED7D45"/>
    <w:rsid w:val="00ED7DEE"/>
    <w:rsid w:val="00EE247A"/>
    <w:rsid w:val="00EF7C8A"/>
    <w:rsid w:val="00F12532"/>
    <w:rsid w:val="00F261FB"/>
    <w:rsid w:val="00F27E8B"/>
    <w:rsid w:val="00F32F7C"/>
    <w:rsid w:val="00F57439"/>
    <w:rsid w:val="00F640FA"/>
    <w:rsid w:val="00F66E13"/>
    <w:rsid w:val="00F81BC9"/>
    <w:rsid w:val="00F84ED3"/>
    <w:rsid w:val="00F90A64"/>
    <w:rsid w:val="00F94657"/>
    <w:rsid w:val="00FA1D0F"/>
    <w:rsid w:val="00FC0CCB"/>
    <w:rsid w:val="00FD0CAD"/>
    <w:rsid w:val="00FD1241"/>
    <w:rsid w:val="00FD746D"/>
    <w:rsid w:val="00FE3F5F"/>
    <w:rsid w:val="00FE5D62"/>
    <w:rsid w:val="00FF42FE"/>
    <w:rsid w:val="0CA4202F"/>
    <w:rsid w:val="0FDB1E2E"/>
    <w:rsid w:val="13043145"/>
    <w:rsid w:val="2DC96ABD"/>
    <w:rsid w:val="30B84656"/>
    <w:rsid w:val="310836F8"/>
    <w:rsid w:val="43B05BF3"/>
    <w:rsid w:val="5752399F"/>
    <w:rsid w:val="5A6E5821"/>
    <w:rsid w:val="695D4175"/>
    <w:rsid w:val="6C6855C8"/>
    <w:rsid w:val="72D82ABE"/>
    <w:rsid w:val="742F3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link w:val="20"/>
    <w:semiHidden/>
    <w:unhideWhenUsed/>
    <w:qFormat/>
    <w:uiPriority w:val="99"/>
    <w:pPr>
      <w:spacing w:after="120"/>
    </w:pPr>
  </w:style>
  <w:style w:type="paragraph" w:styleId="5">
    <w:name w:val="Balloon Text"/>
    <w:basedOn w:val="1"/>
    <w:link w:val="26"/>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2"/>
    <w:qFormat/>
    <w:uiPriority w:val="0"/>
    <w:pPr>
      <w:snapToGrid w:val="0"/>
      <w:jc w:val="left"/>
    </w:pPr>
    <w:rPr>
      <w:rFonts w:ascii="Calibri" w:hAnsi="Calibri" w:eastAsia="宋体" w:cs="Calibri"/>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25"/>
    <w:semiHidden/>
    <w:unhideWhenUsed/>
    <w:uiPriority w:val="99"/>
    <w:rPr>
      <w:b/>
      <w:bCs/>
    </w:rPr>
  </w:style>
  <w:style w:type="paragraph" w:styleId="11">
    <w:name w:val="Body Text First Indent"/>
    <w:basedOn w:val="4"/>
    <w:link w:val="21"/>
    <w:qFormat/>
    <w:uiPriority w:val="0"/>
    <w:pPr>
      <w:ind w:firstLine="420" w:firstLineChars="100"/>
    </w:pPr>
    <w:rPr>
      <w:rFonts w:ascii="Times New Roman" w:hAnsi="Times New Roman" w:eastAsia="宋体" w:cs="Times New Roman"/>
      <w:szCs w:val="20"/>
      <w:lang w:val="zh-CN" w:bidi="zh-CN"/>
    </w:rPr>
  </w:style>
  <w:style w:type="character" w:styleId="14">
    <w:name w:val="Strong"/>
    <w:basedOn w:val="13"/>
    <w:qFormat/>
    <w:uiPriority w:val="22"/>
    <w:rPr>
      <w:b/>
      <w:bCs/>
    </w:rPr>
  </w:style>
  <w:style w:type="character" w:styleId="15">
    <w:name w:val="annotation reference"/>
    <w:basedOn w:val="13"/>
    <w:semiHidden/>
    <w:unhideWhenUsed/>
    <w:qFormat/>
    <w:uiPriority w:val="99"/>
    <w:rPr>
      <w:sz w:val="21"/>
      <w:szCs w:val="21"/>
    </w:rPr>
  </w:style>
  <w:style w:type="character" w:styleId="16">
    <w:name w:val="footnote reference"/>
    <w:qFormat/>
    <w:uiPriority w:val="0"/>
    <w:rPr>
      <w:vertAlign w:val="superscript"/>
    </w:rPr>
  </w:style>
  <w:style w:type="character" w:customStyle="1" w:styleId="17">
    <w:name w:val="标题 2 字符"/>
    <w:basedOn w:val="13"/>
    <w:link w:val="2"/>
    <w:qFormat/>
    <w:uiPriority w:val="9"/>
    <w:rPr>
      <w:rFonts w:ascii="宋体" w:hAnsi="宋体" w:eastAsia="宋体" w:cs="宋体"/>
      <w:b/>
      <w:bCs/>
      <w:kern w:val="0"/>
      <w:sz w:val="36"/>
      <w:szCs w:val="36"/>
    </w:rPr>
  </w:style>
  <w:style w:type="character" w:customStyle="1" w:styleId="18">
    <w:name w:val="页眉 字符"/>
    <w:basedOn w:val="13"/>
    <w:link w:val="7"/>
    <w:qFormat/>
    <w:uiPriority w:val="99"/>
    <w:rPr>
      <w:sz w:val="18"/>
      <w:szCs w:val="18"/>
    </w:rPr>
  </w:style>
  <w:style w:type="character" w:customStyle="1" w:styleId="19">
    <w:name w:val="页脚 字符1"/>
    <w:basedOn w:val="13"/>
    <w:link w:val="6"/>
    <w:qFormat/>
    <w:uiPriority w:val="99"/>
    <w:rPr>
      <w:sz w:val="18"/>
      <w:szCs w:val="18"/>
    </w:rPr>
  </w:style>
  <w:style w:type="character" w:customStyle="1" w:styleId="20">
    <w:name w:val="正文文本 字符"/>
    <w:basedOn w:val="13"/>
    <w:link w:val="4"/>
    <w:semiHidden/>
    <w:qFormat/>
    <w:uiPriority w:val="99"/>
  </w:style>
  <w:style w:type="character" w:customStyle="1" w:styleId="21">
    <w:name w:val="正文文本首行缩进 字符"/>
    <w:basedOn w:val="20"/>
    <w:link w:val="11"/>
    <w:qFormat/>
    <w:uiPriority w:val="0"/>
    <w:rPr>
      <w:rFonts w:ascii="Times New Roman" w:hAnsi="Times New Roman" w:eastAsia="宋体" w:cs="Times New Roman"/>
      <w:szCs w:val="20"/>
      <w:lang w:val="zh-CN" w:bidi="zh-CN"/>
    </w:rPr>
  </w:style>
  <w:style w:type="character" w:customStyle="1" w:styleId="22">
    <w:name w:val="脚注文本 字符"/>
    <w:basedOn w:val="13"/>
    <w:link w:val="8"/>
    <w:qFormat/>
    <w:uiPriority w:val="0"/>
    <w:rPr>
      <w:rFonts w:ascii="Calibri" w:hAnsi="Calibri" w:eastAsia="宋体" w:cs="Calibri"/>
      <w:sz w:val="18"/>
      <w:szCs w:val="18"/>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文字 字符"/>
    <w:basedOn w:val="13"/>
    <w:link w:val="3"/>
    <w:semiHidden/>
    <w:qFormat/>
    <w:uiPriority w:val="99"/>
  </w:style>
  <w:style w:type="character" w:customStyle="1" w:styleId="25">
    <w:name w:val="批注主题 字符"/>
    <w:basedOn w:val="24"/>
    <w:link w:val="10"/>
    <w:semiHidden/>
    <w:qFormat/>
    <w:uiPriority w:val="99"/>
    <w:rPr>
      <w:b/>
      <w:bCs/>
    </w:rPr>
  </w:style>
  <w:style w:type="character" w:customStyle="1" w:styleId="26">
    <w:name w:val="批注框文本 字符"/>
    <w:basedOn w:val="13"/>
    <w:link w:val="5"/>
    <w:semiHidden/>
    <w:qFormat/>
    <w:uiPriority w:val="99"/>
    <w:rPr>
      <w:sz w:val="18"/>
      <w:szCs w:val="18"/>
    </w:rPr>
  </w:style>
  <w:style w:type="character" w:customStyle="1" w:styleId="27">
    <w:name w:val="页脚 字符"/>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D39A3-90A1-4854-B638-8C3278D60821}">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2735</Words>
  <Characters>2851</Characters>
  <Lines>21</Lines>
  <Paragraphs>6</Paragraphs>
  <TotalTime>25</TotalTime>
  <ScaleCrop>false</ScaleCrop>
  <LinksUpToDate>false</LinksUpToDate>
  <CharactersWithSpaces>2921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2022-10-10T09:33:00Z</dcterms:created>
  <dc:creator>孙翠华</dc:creator>
  <cp:lastModifiedBy>胡玮</cp:lastModifiedBy>
  <dcterms:modified xsi:type="dcterms:W3CDTF">2022-10-14T07:48:56Z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47AA7336C90B4767BDB077CDE2D7039C</vt:lpwstr>
  </property>
</Properties>
</file>